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050A43" w14:textId="77777777" w:rsidR="00DF5FE6" w:rsidRDefault="00DF5FE6">
      <w:pPr>
        <w:pBdr>
          <w:top w:val="nil"/>
          <w:left w:val="nil"/>
          <w:bottom w:val="nil"/>
          <w:right w:val="nil"/>
          <w:between w:val="nil"/>
        </w:pBdr>
        <w:spacing w:line="276" w:lineRule="auto"/>
        <w:ind w:right="-376"/>
        <w:rPr>
          <w:rFonts w:ascii="Arial" w:eastAsia="Arial" w:hAnsi="Arial" w:cs="Arial"/>
          <w:color w:val="000000"/>
          <w:sz w:val="22"/>
          <w:szCs w:val="22"/>
        </w:rPr>
      </w:pPr>
    </w:p>
    <w:tbl>
      <w:tblPr>
        <w:tblStyle w:val="a2"/>
        <w:tblpPr w:leftFromText="141" w:rightFromText="141" w:vertAnchor="page" w:horzAnchor="margin" w:tblpXSpec="center" w:tblpY="871"/>
        <w:tblW w:w="1051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11"/>
        <w:gridCol w:w="1324"/>
        <w:gridCol w:w="2693"/>
        <w:gridCol w:w="3256"/>
        <w:gridCol w:w="1735"/>
      </w:tblGrid>
      <w:tr w:rsidR="00DF5FE6" w14:paraId="05965C50" w14:textId="77777777">
        <w:trPr>
          <w:trHeight w:val="756"/>
        </w:trPr>
        <w:tc>
          <w:tcPr>
            <w:tcW w:w="1511" w:type="dxa"/>
            <w:vMerge w:val="restart"/>
          </w:tcPr>
          <w:p w14:paraId="40676CC7" w14:textId="77777777" w:rsidR="00DF5FE6" w:rsidRDefault="00F15831">
            <w:pPr>
              <w:pBdr>
                <w:top w:val="nil"/>
                <w:left w:val="nil"/>
                <w:bottom w:val="nil"/>
                <w:right w:val="nil"/>
                <w:between w:val="nil"/>
              </w:pBdr>
              <w:tabs>
                <w:tab w:val="center" w:pos="4419"/>
                <w:tab w:val="right" w:pos="8838"/>
              </w:tabs>
              <w:jc w:val="both"/>
              <w:rPr>
                <w:rFonts w:ascii="Arial" w:eastAsia="Arial" w:hAnsi="Arial" w:cs="Arial"/>
                <w:color w:val="000000"/>
                <w:sz w:val="22"/>
                <w:szCs w:val="22"/>
              </w:rPr>
            </w:pPr>
            <w:bookmarkStart w:id="0" w:name="_heading=h.gjdgxs" w:colFirst="0" w:colLast="0"/>
            <w:bookmarkEnd w:id="0"/>
            <w:r>
              <w:rPr>
                <w:noProof/>
              </w:rPr>
              <w:drawing>
                <wp:anchor distT="0" distB="0" distL="114300" distR="114300" simplePos="0" relativeHeight="251658240" behindDoc="0" locked="0" layoutInCell="1" hidden="0" allowOverlap="1" wp14:anchorId="1C5921C3" wp14:editId="2270F1DC">
                  <wp:simplePos x="0" y="0"/>
                  <wp:positionH relativeFrom="column">
                    <wp:posOffset>9530</wp:posOffset>
                  </wp:positionH>
                  <wp:positionV relativeFrom="paragraph">
                    <wp:posOffset>226915</wp:posOffset>
                  </wp:positionV>
                  <wp:extent cx="914400" cy="787400"/>
                  <wp:effectExtent l="0" t="0" r="0" b="0"/>
                  <wp:wrapTopAndBottom distT="0" distB="0"/>
                  <wp:docPr id="1622213228" name="image3.png" descr="Imagen que contiene Form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magen que contiene Forma&#10;&#10;Descripción generada automáticamente"/>
                          <pic:cNvPicPr preferRelativeResize="0"/>
                        </pic:nvPicPr>
                        <pic:blipFill>
                          <a:blip r:embed="rId8"/>
                          <a:srcRect/>
                          <a:stretch>
                            <a:fillRect/>
                          </a:stretch>
                        </pic:blipFill>
                        <pic:spPr>
                          <a:xfrm>
                            <a:off x="0" y="0"/>
                            <a:ext cx="914400" cy="787400"/>
                          </a:xfrm>
                          <a:prstGeom prst="rect">
                            <a:avLst/>
                          </a:prstGeom>
                          <a:ln/>
                        </pic:spPr>
                      </pic:pic>
                    </a:graphicData>
                  </a:graphic>
                </wp:anchor>
              </w:drawing>
            </w:r>
          </w:p>
        </w:tc>
        <w:tc>
          <w:tcPr>
            <w:tcW w:w="7273" w:type="dxa"/>
            <w:gridSpan w:val="3"/>
          </w:tcPr>
          <w:p w14:paraId="5AC4F039" w14:textId="77777777" w:rsidR="00DF5FE6" w:rsidRDefault="00DF5FE6">
            <w:pPr>
              <w:pBdr>
                <w:top w:val="nil"/>
                <w:left w:val="nil"/>
                <w:bottom w:val="nil"/>
                <w:right w:val="nil"/>
                <w:between w:val="nil"/>
              </w:pBdr>
              <w:tabs>
                <w:tab w:val="center" w:pos="4419"/>
                <w:tab w:val="right" w:pos="8838"/>
              </w:tabs>
              <w:jc w:val="center"/>
              <w:rPr>
                <w:rFonts w:ascii="Arial" w:eastAsia="Arial" w:hAnsi="Arial" w:cs="Arial"/>
                <w:color w:val="000000"/>
                <w:sz w:val="22"/>
                <w:szCs w:val="22"/>
              </w:rPr>
            </w:pPr>
          </w:p>
          <w:p w14:paraId="5040A40E" w14:textId="77777777" w:rsidR="00DF5FE6" w:rsidRDefault="00F15831">
            <w:pPr>
              <w:pBdr>
                <w:top w:val="nil"/>
                <w:left w:val="nil"/>
                <w:bottom w:val="nil"/>
                <w:right w:val="nil"/>
                <w:between w:val="nil"/>
              </w:pBdr>
              <w:tabs>
                <w:tab w:val="center" w:pos="4419"/>
                <w:tab w:val="right" w:pos="8838"/>
              </w:tabs>
              <w:jc w:val="center"/>
              <w:rPr>
                <w:rFonts w:ascii="Arial" w:eastAsia="Arial" w:hAnsi="Arial" w:cs="Arial"/>
                <w:b/>
                <w:color w:val="4472C4"/>
                <w:sz w:val="28"/>
                <w:szCs w:val="28"/>
              </w:rPr>
            </w:pPr>
            <w:r>
              <w:rPr>
                <w:rFonts w:ascii="Arial" w:eastAsia="Arial" w:hAnsi="Arial" w:cs="Arial"/>
                <w:b/>
                <w:color w:val="4472C4"/>
                <w:sz w:val="28"/>
                <w:szCs w:val="28"/>
              </w:rPr>
              <w:t>CABILDO INDÍGENA MUISCA DE SUBA</w:t>
            </w:r>
          </w:p>
          <w:p w14:paraId="5AE295C2" w14:textId="77777777" w:rsidR="00DF5FE6" w:rsidRDefault="00F15831">
            <w:pPr>
              <w:pBdr>
                <w:top w:val="nil"/>
                <w:left w:val="nil"/>
                <w:bottom w:val="nil"/>
                <w:right w:val="nil"/>
                <w:between w:val="nil"/>
              </w:pBdr>
              <w:tabs>
                <w:tab w:val="center" w:pos="4419"/>
                <w:tab w:val="right" w:pos="8838"/>
              </w:tabs>
              <w:jc w:val="center"/>
              <w:rPr>
                <w:rFonts w:ascii="Arial" w:eastAsia="Arial" w:hAnsi="Arial" w:cs="Arial"/>
                <w:color w:val="000000"/>
                <w:sz w:val="22"/>
                <w:szCs w:val="22"/>
              </w:rPr>
            </w:pPr>
            <w:r>
              <w:rPr>
                <w:rFonts w:ascii="Arial" w:eastAsia="Arial" w:hAnsi="Arial" w:cs="Arial"/>
                <w:b/>
                <w:color w:val="4472C4"/>
                <w:sz w:val="20"/>
                <w:szCs w:val="20"/>
              </w:rPr>
              <w:t>CERROS SAGRADOS DE SUBA</w:t>
            </w:r>
          </w:p>
        </w:tc>
        <w:tc>
          <w:tcPr>
            <w:tcW w:w="1735" w:type="dxa"/>
            <w:vMerge w:val="restart"/>
          </w:tcPr>
          <w:p w14:paraId="41982A2A" w14:textId="77777777" w:rsidR="00DF5FE6" w:rsidRDefault="00F15831">
            <w:pPr>
              <w:pBdr>
                <w:top w:val="nil"/>
                <w:left w:val="nil"/>
                <w:bottom w:val="nil"/>
                <w:right w:val="nil"/>
                <w:between w:val="nil"/>
              </w:pBdr>
              <w:tabs>
                <w:tab w:val="center" w:pos="4419"/>
                <w:tab w:val="right" w:pos="8838"/>
              </w:tabs>
              <w:jc w:val="both"/>
              <w:rPr>
                <w:rFonts w:ascii="Arial" w:eastAsia="Arial" w:hAnsi="Arial" w:cs="Arial"/>
                <w:color w:val="000000"/>
                <w:sz w:val="22"/>
                <w:szCs w:val="22"/>
              </w:rPr>
            </w:pPr>
            <w:r>
              <w:rPr>
                <w:noProof/>
              </w:rPr>
              <w:drawing>
                <wp:anchor distT="0" distB="0" distL="0" distR="0" simplePos="0" relativeHeight="251659264" behindDoc="1" locked="0" layoutInCell="1" hidden="0" allowOverlap="1" wp14:anchorId="61FB4B5A" wp14:editId="0086B203">
                  <wp:simplePos x="0" y="0"/>
                  <wp:positionH relativeFrom="column">
                    <wp:posOffset>-40639</wp:posOffset>
                  </wp:positionH>
                  <wp:positionV relativeFrom="paragraph">
                    <wp:posOffset>0</wp:posOffset>
                  </wp:positionV>
                  <wp:extent cx="1068977" cy="1073617"/>
                  <wp:effectExtent l="0" t="0" r="0" b="0"/>
                  <wp:wrapNone/>
                  <wp:docPr id="16222132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1068977" cy="1073617"/>
                          </a:xfrm>
                          <a:prstGeom prst="rect">
                            <a:avLst/>
                          </a:prstGeom>
                          <a:ln/>
                        </pic:spPr>
                      </pic:pic>
                    </a:graphicData>
                  </a:graphic>
                </wp:anchor>
              </w:drawing>
            </w:r>
          </w:p>
        </w:tc>
      </w:tr>
      <w:tr w:rsidR="00DF5FE6" w14:paraId="1E0E8A84" w14:textId="77777777">
        <w:trPr>
          <w:trHeight w:val="427"/>
        </w:trPr>
        <w:tc>
          <w:tcPr>
            <w:tcW w:w="1511" w:type="dxa"/>
            <w:vMerge/>
          </w:tcPr>
          <w:p w14:paraId="74600E60" w14:textId="77777777" w:rsidR="00DF5FE6" w:rsidRDefault="00DF5FE6">
            <w:pPr>
              <w:pBdr>
                <w:top w:val="nil"/>
                <w:left w:val="nil"/>
                <w:bottom w:val="nil"/>
                <w:right w:val="nil"/>
                <w:between w:val="nil"/>
              </w:pBdr>
              <w:spacing w:line="276" w:lineRule="auto"/>
              <w:rPr>
                <w:rFonts w:ascii="Arial" w:eastAsia="Arial" w:hAnsi="Arial" w:cs="Arial"/>
                <w:color w:val="000000"/>
                <w:sz w:val="22"/>
                <w:szCs w:val="22"/>
              </w:rPr>
            </w:pPr>
          </w:p>
        </w:tc>
        <w:tc>
          <w:tcPr>
            <w:tcW w:w="7273" w:type="dxa"/>
            <w:gridSpan w:val="3"/>
          </w:tcPr>
          <w:p w14:paraId="24146440" w14:textId="77777777" w:rsidR="00DF5FE6" w:rsidRDefault="00F15831">
            <w:pPr>
              <w:pBdr>
                <w:top w:val="nil"/>
                <w:left w:val="nil"/>
                <w:bottom w:val="nil"/>
                <w:right w:val="nil"/>
                <w:between w:val="nil"/>
              </w:pBdr>
              <w:tabs>
                <w:tab w:val="center" w:pos="4419"/>
                <w:tab w:val="right" w:pos="8838"/>
              </w:tabs>
              <w:jc w:val="center"/>
              <w:rPr>
                <w:rFonts w:ascii="Arial" w:eastAsia="Arial" w:hAnsi="Arial" w:cs="Arial"/>
                <w:b/>
                <w:color w:val="000000"/>
                <w:sz w:val="22"/>
                <w:szCs w:val="22"/>
              </w:rPr>
            </w:pPr>
            <w:r>
              <w:rPr>
                <w:rFonts w:ascii="Arial" w:eastAsia="Arial" w:hAnsi="Arial" w:cs="Arial"/>
                <w:b/>
                <w:color w:val="000000"/>
                <w:sz w:val="22"/>
                <w:szCs w:val="22"/>
              </w:rPr>
              <w:t xml:space="preserve">Entidad </w:t>
            </w:r>
            <w:r>
              <w:rPr>
                <w:rFonts w:ascii="Arial" w:eastAsia="Arial" w:hAnsi="Arial" w:cs="Arial"/>
                <w:b/>
                <w:sz w:val="22"/>
                <w:szCs w:val="22"/>
              </w:rPr>
              <w:t>Pública</w:t>
            </w:r>
            <w:r>
              <w:rPr>
                <w:rFonts w:ascii="Arial" w:eastAsia="Arial" w:hAnsi="Arial" w:cs="Arial"/>
                <w:b/>
                <w:color w:val="000000"/>
                <w:sz w:val="22"/>
                <w:szCs w:val="22"/>
              </w:rPr>
              <w:t xml:space="preserve"> De Carácter Especial</w:t>
            </w:r>
          </w:p>
          <w:p w14:paraId="3D56A9F7" w14:textId="77777777" w:rsidR="00DF5FE6" w:rsidRDefault="00F15831">
            <w:pPr>
              <w:pBdr>
                <w:top w:val="nil"/>
                <w:left w:val="nil"/>
                <w:bottom w:val="nil"/>
                <w:right w:val="nil"/>
                <w:between w:val="nil"/>
              </w:pBdr>
              <w:tabs>
                <w:tab w:val="center" w:pos="4419"/>
                <w:tab w:val="right" w:pos="8838"/>
              </w:tabs>
              <w:jc w:val="center"/>
              <w:rPr>
                <w:rFonts w:ascii="Arial" w:eastAsia="Arial" w:hAnsi="Arial" w:cs="Arial"/>
                <w:color w:val="000000"/>
                <w:sz w:val="22"/>
                <w:szCs w:val="22"/>
              </w:rPr>
            </w:pPr>
            <w:r>
              <w:rPr>
                <w:rFonts w:ascii="Arial" w:eastAsia="Arial" w:hAnsi="Arial" w:cs="Arial"/>
                <w:i/>
                <w:color w:val="000000"/>
                <w:sz w:val="22"/>
                <w:szCs w:val="22"/>
              </w:rPr>
              <w:t xml:space="preserve">Ley 89 de 1890 - </w:t>
            </w:r>
            <w:r>
              <w:rPr>
                <w:rFonts w:ascii="Arial" w:eastAsia="Arial" w:hAnsi="Arial" w:cs="Arial"/>
                <w:i/>
                <w:sz w:val="22"/>
                <w:szCs w:val="22"/>
              </w:rPr>
              <w:t>Artículo</w:t>
            </w:r>
            <w:r>
              <w:rPr>
                <w:rFonts w:ascii="Arial" w:eastAsia="Arial" w:hAnsi="Arial" w:cs="Arial"/>
                <w:i/>
                <w:color w:val="000000"/>
                <w:sz w:val="22"/>
                <w:szCs w:val="22"/>
              </w:rPr>
              <w:t xml:space="preserve"> 246 CPC 1991</w:t>
            </w:r>
          </w:p>
        </w:tc>
        <w:tc>
          <w:tcPr>
            <w:tcW w:w="1735" w:type="dxa"/>
            <w:vMerge/>
          </w:tcPr>
          <w:p w14:paraId="40C343D8" w14:textId="77777777" w:rsidR="00DF5FE6" w:rsidRDefault="00DF5FE6">
            <w:pPr>
              <w:pBdr>
                <w:top w:val="nil"/>
                <w:left w:val="nil"/>
                <w:bottom w:val="nil"/>
                <w:right w:val="nil"/>
                <w:between w:val="nil"/>
              </w:pBdr>
              <w:spacing w:line="276" w:lineRule="auto"/>
              <w:rPr>
                <w:rFonts w:ascii="Arial" w:eastAsia="Arial" w:hAnsi="Arial" w:cs="Arial"/>
                <w:color w:val="000000"/>
                <w:sz w:val="22"/>
                <w:szCs w:val="22"/>
              </w:rPr>
            </w:pPr>
          </w:p>
        </w:tc>
      </w:tr>
      <w:tr w:rsidR="00DF5FE6" w14:paraId="128A2D14" w14:textId="77777777">
        <w:trPr>
          <w:trHeight w:val="411"/>
        </w:trPr>
        <w:tc>
          <w:tcPr>
            <w:tcW w:w="1511" w:type="dxa"/>
            <w:vMerge/>
          </w:tcPr>
          <w:p w14:paraId="2EE4A3A6" w14:textId="77777777" w:rsidR="00DF5FE6" w:rsidRDefault="00DF5FE6">
            <w:pPr>
              <w:pBdr>
                <w:top w:val="nil"/>
                <w:left w:val="nil"/>
                <w:bottom w:val="nil"/>
                <w:right w:val="nil"/>
                <w:between w:val="nil"/>
              </w:pBdr>
              <w:spacing w:line="276" w:lineRule="auto"/>
              <w:rPr>
                <w:rFonts w:ascii="Arial" w:eastAsia="Arial" w:hAnsi="Arial" w:cs="Arial"/>
                <w:color w:val="000000"/>
                <w:sz w:val="22"/>
                <w:szCs w:val="22"/>
              </w:rPr>
            </w:pPr>
          </w:p>
        </w:tc>
        <w:tc>
          <w:tcPr>
            <w:tcW w:w="1324" w:type="dxa"/>
          </w:tcPr>
          <w:p w14:paraId="1466EBE7" w14:textId="77777777" w:rsidR="00DF5FE6" w:rsidRDefault="00F15831">
            <w:pPr>
              <w:pBdr>
                <w:top w:val="nil"/>
                <w:left w:val="nil"/>
                <w:bottom w:val="nil"/>
                <w:right w:val="nil"/>
                <w:between w:val="nil"/>
              </w:pBdr>
              <w:tabs>
                <w:tab w:val="center" w:pos="4419"/>
                <w:tab w:val="right" w:pos="8838"/>
              </w:tabs>
              <w:jc w:val="center"/>
              <w:rPr>
                <w:rFonts w:ascii="Arial" w:eastAsia="Arial" w:hAnsi="Arial" w:cs="Arial"/>
                <w:color w:val="000000"/>
                <w:sz w:val="18"/>
                <w:szCs w:val="18"/>
              </w:rPr>
            </w:pPr>
            <w:r>
              <w:rPr>
                <w:rFonts w:ascii="Arial" w:eastAsia="Arial" w:hAnsi="Arial" w:cs="Arial"/>
                <w:color w:val="000000"/>
                <w:sz w:val="18"/>
                <w:szCs w:val="18"/>
              </w:rPr>
              <w:t>UAQUE ATA CHIGUENE</w:t>
            </w:r>
          </w:p>
        </w:tc>
        <w:tc>
          <w:tcPr>
            <w:tcW w:w="2693" w:type="dxa"/>
          </w:tcPr>
          <w:p w14:paraId="4B74B32A" w14:textId="77777777" w:rsidR="00DF5FE6" w:rsidRDefault="00F15831">
            <w:pPr>
              <w:jc w:val="both"/>
              <w:rPr>
                <w:rFonts w:ascii="Arial" w:eastAsia="Arial" w:hAnsi="Arial" w:cs="Arial"/>
                <w:sz w:val="18"/>
                <w:szCs w:val="18"/>
              </w:rPr>
            </w:pPr>
            <w:r>
              <w:rPr>
                <w:rFonts w:ascii="Arial" w:eastAsia="Arial" w:hAnsi="Arial" w:cs="Arial"/>
                <w:sz w:val="18"/>
                <w:szCs w:val="18"/>
              </w:rPr>
              <w:t>Código: CIMS  830-115-844</w:t>
            </w:r>
          </w:p>
        </w:tc>
        <w:tc>
          <w:tcPr>
            <w:tcW w:w="3256" w:type="dxa"/>
          </w:tcPr>
          <w:p w14:paraId="570A3F94" w14:textId="77777777" w:rsidR="00DF5FE6" w:rsidRDefault="00F15831">
            <w:pPr>
              <w:jc w:val="center"/>
              <w:rPr>
                <w:rFonts w:ascii="Arial" w:eastAsia="Arial" w:hAnsi="Arial" w:cs="Arial"/>
                <w:sz w:val="18"/>
                <w:szCs w:val="18"/>
              </w:rPr>
            </w:pPr>
            <w:r>
              <w:rPr>
                <w:rFonts w:ascii="Arial" w:eastAsia="Arial" w:hAnsi="Arial" w:cs="Arial"/>
                <w:sz w:val="18"/>
                <w:szCs w:val="18"/>
              </w:rPr>
              <w:t>OFICIO</w:t>
            </w:r>
          </w:p>
        </w:tc>
        <w:tc>
          <w:tcPr>
            <w:tcW w:w="1735" w:type="dxa"/>
            <w:vMerge/>
          </w:tcPr>
          <w:p w14:paraId="3F35EB21" w14:textId="77777777" w:rsidR="00DF5FE6" w:rsidRDefault="00DF5FE6">
            <w:pPr>
              <w:pBdr>
                <w:top w:val="nil"/>
                <w:left w:val="nil"/>
                <w:bottom w:val="nil"/>
                <w:right w:val="nil"/>
                <w:between w:val="nil"/>
              </w:pBdr>
              <w:spacing w:line="276" w:lineRule="auto"/>
              <w:rPr>
                <w:rFonts w:ascii="Arial" w:eastAsia="Arial" w:hAnsi="Arial" w:cs="Arial"/>
                <w:sz w:val="18"/>
                <w:szCs w:val="18"/>
              </w:rPr>
            </w:pPr>
          </w:p>
        </w:tc>
      </w:tr>
    </w:tbl>
    <w:p w14:paraId="59F014CE" w14:textId="77777777" w:rsidR="00DF5FE6" w:rsidRDefault="00F15831">
      <w:pPr>
        <w:widowControl/>
        <w:jc w:val="right"/>
        <w:rPr>
          <w:rFonts w:ascii="Arial" w:eastAsia="Arial" w:hAnsi="Arial" w:cs="Arial"/>
          <w:b/>
          <w:sz w:val="22"/>
          <w:szCs w:val="22"/>
        </w:rPr>
      </w:pPr>
      <w:r>
        <w:rPr>
          <w:rFonts w:ascii="Arial" w:eastAsia="Arial" w:hAnsi="Arial" w:cs="Arial"/>
          <w:b/>
          <w:sz w:val="22"/>
          <w:szCs w:val="22"/>
        </w:rPr>
        <w:t>Bogotá, mayo de 2024</w:t>
      </w:r>
    </w:p>
    <w:p w14:paraId="6A5B1A0B" w14:textId="77777777" w:rsidR="00DF5FE6" w:rsidRDefault="00DF5FE6">
      <w:pPr>
        <w:widowControl/>
        <w:rPr>
          <w:rFonts w:ascii="Arial" w:eastAsia="Arial" w:hAnsi="Arial" w:cs="Arial"/>
          <w:b/>
          <w:sz w:val="22"/>
          <w:szCs w:val="22"/>
        </w:rPr>
      </w:pPr>
    </w:p>
    <w:p w14:paraId="440317D3" w14:textId="77777777" w:rsidR="00DF5FE6" w:rsidRDefault="00DF5FE6">
      <w:pPr>
        <w:widowControl/>
        <w:ind w:left="-567"/>
        <w:rPr>
          <w:rFonts w:ascii="Arial" w:eastAsia="Arial" w:hAnsi="Arial" w:cs="Arial"/>
          <w:b/>
          <w:sz w:val="22"/>
          <w:szCs w:val="22"/>
        </w:rPr>
      </w:pPr>
    </w:p>
    <w:p w14:paraId="45B5CED9" w14:textId="77777777" w:rsidR="00DF5FE6" w:rsidRDefault="00F15831">
      <w:pPr>
        <w:spacing w:line="360" w:lineRule="auto"/>
        <w:jc w:val="both"/>
        <w:rPr>
          <w:rFonts w:ascii="Arial" w:eastAsia="Arial" w:hAnsi="Arial" w:cs="Arial"/>
        </w:rPr>
      </w:pPr>
      <w:r>
        <w:rPr>
          <w:rFonts w:ascii="Arial" w:eastAsia="Arial" w:hAnsi="Arial" w:cs="Arial"/>
        </w:rPr>
        <w:t xml:space="preserve">Este documento tiene como objetivo resaltar la importancia ancestral, ecosistémica y ambiental de este cerro, proporcionando una visión integral que engloba la historia del pueblo </w:t>
      </w:r>
      <w:proofErr w:type="spellStart"/>
      <w:r>
        <w:rPr>
          <w:rFonts w:ascii="Arial" w:eastAsia="Arial" w:hAnsi="Arial" w:cs="Arial"/>
        </w:rPr>
        <w:t>Muysca</w:t>
      </w:r>
      <w:proofErr w:type="spellEnd"/>
      <w:r>
        <w:rPr>
          <w:rFonts w:ascii="Arial" w:eastAsia="Arial" w:hAnsi="Arial" w:cs="Arial"/>
        </w:rPr>
        <w:t xml:space="preserve"> en el territorio y la riqueza de las especies nativas de fauna y flora presentes en la zona.</w:t>
      </w:r>
    </w:p>
    <w:p w14:paraId="6ACD2276" w14:textId="77777777" w:rsidR="00DF5FE6" w:rsidRDefault="00DF5FE6">
      <w:pPr>
        <w:rPr>
          <w:rFonts w:ascii="Arial" w:eastAsia="Arial" w:hAnsi="Arial" w:cs="Arial"/>
        </w:rPr>
      </w:pPr>
    </w:p>
    <w:p w14:paraId="5AAFFB95" w14:textId="77777777" w:rsidR="00DF5FE6" w:rsidRDefault="00F15831">
      <w:pPr>
        <w:widowControl/>
        <w:numPr>
          <w:ilvl w:val="0"/>
          <w:numId w:val="6"/>
        </w:numPr>
        <w:pBdr>
          <w:top w:val="nil"/>
          <w:left w:val="nil"/>
          <w:bottom w:val="nil"/>
          <w:right w:val="nil"/>
          <w:between w:val="nil"/>
        </w:pBdr>
        <w:spacing w:line="259" w:lineRule="auto"/>
        <w:rPr>
          <w:rFonts w:ascii="Arial" w:eastAsia="Arial" w:hAnsi="Arial" w:cs="Arial"/>
          <w:b/>
          <w:color w:val="000000"/>
        </w:rPr>
      </w:pPr>
      <w:r>
        <w:rPr>
          <w:rFonts w:ascii="Arial" w:eastAsia="Arial" w:hAnsi="Arial" w:cs="Arial"/>
          <w:b/>
          <w:color w:val="000000"/>
        </w:rPr>
        <w:t xml:space="preserve">Cerro La Conejera como Sitio Sagrado del Pueblo </w:t>
      </w:r>
      <w:proofErr w:type="spellStart"/>
      <w:r>
        <w:rPr>
          <w:rFonts w:ascii="Arial" w:eastAsia="Arial" w:hAnsi="Arial" w:cs="Arial"/>
          <w:b/>
          <w:color w:val="000000"/>
        </w:rPr>
        <w:t>Muysca</w:t>
      </w:r>
      <w:proofErr w:type="spellEnd"/>
    </w:p>
    <w:p w14:paraId="2C536091" w14:textId="77777777" w:rsidR="00DF5FE6" w:rsidRDefault="00DF5FE6">
      <w:pPr>
        <w:spacing w:line="259" w:lineRule="auto"/>
        <w:rPr>
          <w:rFonts w:ascii="Arial" w:eastAsia="Arial" w:hAnsi="Arial" w:cs="Arial"/>
          <w:b/>
        </w:rPr>
      </w:pPr>
    </w:p>
    <w:p w14:paraId="15AC6190" w14:textId="7FF5AD6F" w:rsidR="00DF5FE6" w:rsidRDefault="00F15831">
      <w:pPr>
        <w:spacing w:line="360" w:lineRule="auto"/>
        <w:jc w:val="both"/>
        <w:rPr>
          <w:rFonts w:ascii="Arial" w:eastAsia="Arial" w:hAnsi="Arial" w:cs="Arial"/>
        </w:rPr>
      </w:pPr>
      <w:bookmarkStart w:id="1" w:name="_heading=h.30j0zll" w:colFirst="0" w:colLast="0"/>
      <w:bookmarkEnd w:id="1"/>
      <w:r>
        <w:rPr>
          <w:rFonts w:ascii="Arial" w:eastAsia="Arial" w:hAnsi="Arial" w:cs="Arial"/>
        </w:rPr>
        <w:t xml:space="preserve">El Cerro La Conejera, ubicado en la localidad de Suba, Bogotá, es un sitio de profunda relevancia para el pueblo </w:t>
      </w:r>
      <w:proofErr w:type="spellStart"/>
      <w:r>
        <w:rPr>
          <w:rFonts w:ascii="Arial" w:eastAsia="Arial" w:hAnsi="Arial" w:cs="Arial"/>
        </w:rPr>
        <w:t>Muysca</w:t>
      </w:r>
      <w:proofErr w:type="spellEnd"/>
      <w:r>
        <w:rPr>
          <w:rFonts w:ascii="Arial" w:eastAsia="Arial" w:hAnsi="Arial" w:cs="Arial"/>
        </w:rPr>
        <w:t xml:space="preserve">, siendo el cerro tutelar del antiguo resguardo de Tuna. Según del Archivo General de Indias, en el sector denominado la Conejera, se encontraba la merced del cacique de Tuna don Francisco </w:t>
      </w:r>
      <w:proofErr w:type="spellStart"/>
      <w:r>
        <w:rPr>
          <w:rFonts w:ascii="Arial" w:eastAsia="Arial" w:hAnsi="Arial" w:cs="Arial"/>
        </w:rPr>
        <w:t>Chisaba</w:t>
      </w:r>
      <w:proofErr w:type="spellEnd"/>
      <w:r>
        <w:rPr>
          <w:rFonts w:ascii="Arial" w:eastAsia="Arial" w:hAnsi="Arial" w:cs="Arial"/>
        </w:rPr>
        <w:t xml:space="preserve"> quien era orfebre, en este lugar se encuentra la histórica Hacienda La Conejera de la cual se tiene registro en su titularidad desde el siglo XVII, previamente esta Hacienda era propiedad del Cacique Francisco del cual heredó a su hija Isabel, la cual fue </w:t>
      </w:r>
      <w:r w:rsidR="00877BA3">
        <w:rPr>
          <w:rFonts w:ascii="Arial" w:eastAsia="Arial" w:hAnsi="Arial" w:cs="Arial"/>
        </w:rPr>
        <w:t>apropiada</w:t>
      </w:r>
      <w:r>
        <w:rPr>
          <w:rFonts w:ascii="Arial" w:eastAsia="Arial" w:hAnsi="Arial" w:cs="Arial"/>
        </w:rPr>
        <w:t xml:space="preserve"> por los jesuitas </w:t>
      </w:r>
      <w:r w:rsidR="00877BA3">
        <w:rPr>
          <w:rFonts w:ascii="Arial" w:eastAsia="Arial" w:hAnsi="Arial" w:cs="Arial"/>
        </w:rPr>
        <w:t xml:space="preserve">con apoyo de las autoridades </w:t>
      </w:r>
      <w:r w:rsidR="0018374F">
        <w:rPr>
          <w:rFonts w:ascii="Arial" w:eastAsia="Arial" w:hAnsi="Arial" w:cs="Arial"/>
        </w:rPr>
        <w:t xml:space="preserve">coloniales </w:t>
      </w:r>
      <w:r>
        <w:rPr>
          <w:rFonts w:ascii="Arial" w:eastAsia="Arial" w:hAnsi="Arial" w:cs="Arial"/>
        </w:rPr>
        <w:t>a comienzos del siglo XV</w:t>
      </w:r>
      <w:bookmarkStart w:id="2" w:name="_GoBack"/>
      <w:bookmarkEnd w:id="2"/>
      <w:r>
        <w:rPr>
          <w:rFonts w:ascii="Arial" w:eastAsia="Arial" w:hAnsi="Arial" w:cs="Arial"/>
        </w:rPr>
        <w:t>I. Aquí en estos terrenos se han encontrado innumerables “guacas” o hallazgos arqueológicos.</w:t>
      </w:r>
    </w:p>
    <w:p w14:paraId="11277E59" w14:textId="77777777" w:rsidR="00DF5FE6" w:rsidRDefault="00DF5FE6">
      <w:pPr>
        <w:jc w:val="both"/>
        <w:rPr>
          <w:rFonts w:ascii="Arial" w:eastAsia="Arial" w:hAnsi="Arial" w:cs="Arial"/>
        </w:rPr>
      </w:pPr>
    </w:p>
    <w:p w14:paraId="3326D62E" w14:textId="77777777" w:rsidR="00DF5FE6" w:rsidRDefault="00F15831">
      <w:pPr>
        <w:jc w:val="center"/>
        <w:rPr>
          <w:rFonts w:ascii="Arial" w:eastAsia="Arial" w:hAnsi="Arial" w:cs="Arial"/>
        </w:rPr>
      </w:pPr>
      <w:r>
        <w:rPr>
          <w:rFonts w:ascii="Arial" w:eastAsia="Arial" w:hAnsi="Arial" w:cs="Arial"/>
          <w:noProof/>
        </w:rPr>
        <w:lastRenderedPageBreak/>
        <w:drawing>
          <wp:inline distT="0" distB="0" distL="0" distR="0" wp14:anchorId="4A67C94C" wp14:editId="0AA248E6">
            <wp:extent cx="4592473" cy="3457932"/>
            <wp:effectExtent l="0" t="0" r="0" b="0"/>
            <wp:docPr id="162221323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4592473" cy="3457932"/>
                    </a:xfrm>
                    <a:prstGeom prst="rect">
                      <a:avLst/>
                    </a:prstGeom>
                    <a:ln/>
                  </pic:spPr>
                </pic:pic>
              </a:graphicData>
            </a:graphic>
          </wp:inline>
        </w:drawing>
      </w:r>
    </w:p>
    <w:p w14:paraId="73F35EE0" w14:textId="77777777" w:rsidR="00DF5FE6" w:rsidRDefault="00F15831">
      <w:pPr>
        <w:jc w:val="center"/>
        <w:rPr>
          <w:rFonts w:ascii="Arial" w:eastAsia="Arial" w:hAnsi="Arial" w:cs="Arial"/>
          <w:sz w:val="18"/>
          <w:szCs w:val="18"/>
        </w:rPr>
      </w:pPr>
      <w:r>
        <w:rPr>
          <w:rFonts w:ascii="Arial" w:eastAsia="Arial" w:hAnsi="Arial" w:cs="Arial"/>
          <w:sz w:val="18"/>
          <w:szCs w:val="18"/>
        </w:rPr>
        <w:t>Cartografía tenencia de la tierra 1550-1650 Archivo General de la Nación.</w:t>
      </w:r>
    </w:p>
    <w:p w14:paraId="5A8BB21B" w14:textId="77777777" w:rsidR="00DF5FE6" w:rsidRDefault="00DF5FE6">
      <w:pPr>
        <w:jc w:val="both"/>
        <w:rPr>
          <w:rFonts w:ascii="Arial" w:eastAsia="Arial" w:hAnsi="Arial" w:cs="Arial"/>
        </w:rPr>
      </w:pPr>
    </w:p>
    <w:p w14:paraId="3C3CA407" w14:textId="77777777" w:rsidR="00DF5FE6" w:rsidRDefault="00F15831">
      <w:pPr>
        <w:spacing w:line="360" w:lineRule="auto"/>
        <w:jc w:val="both"/>
        <w:rPr>
          <w:rFonts w:ascii="Arial" w:eastAsia="Arial" w:hAnsi="Arial" w:cs="Arial"/>
        </w:rPr>
      </w:pPr>
      <w:bookmarkStart w:id="3" w:name="_heading=h.1fob9te" w:colFirst="0" w:colLast="0"/>
      <w:bookmarkEnd w:id="3"/>
      <w:r>
        <w:rPr>
          <w:rFonts w:ascii="Arial" w:eastAsia="Arial" w:hAnsi="Arial" w:cs="Arial"/>
        </w:rPr>
        <w:t>En el cerro se encuentran dos puntos sagrados muy importantes:</w:t>
      </w:r>
    </w:p>
    <w:p w14:paraId="7D6D81CC" w14:textId="77777777" w:rsidR="00DF5FE6" w:rsidRDefault="00DF5FE6">
      <w:pPr>
        <w:spacing w:line="360" w:lineRule="auto"/>
        <w:jc w:val="both"/>
        <w:rPr>
          <w:rFonts w:ascii="Arial" w:eastAsia="Arial" w:hAnsi="Arial" w:cs="Arial"/>
        </w:rPr>
      </w:pPr>
    </w:p>
    <w:p w14:paraId="6D196678" w14:textId="77777777" w:rsidR="00DF5FE6" w:rsidRDefault="00F15831">
      <w:pPr>
        <w:widowControl/>
        <w:numPr>
          <w:ilvl w:val="0"/>
          <w:numId w:val="5"/>
        </w:numPr>
        <w:pBdr>
          <w:top w:val="nil"/>
          <w:left w:val="nil"/>
          <w:bottom w:val="nil"/>
          <w:right w:val="nil"/>
          <w:between w:val="nil"/>
        </w:pBdr>
        <w:spacing w:line="360" w:lineRule="auto"/>
        <w:ind w:firstLine="0"/>
        <w:jc w:val="both"/>
        <w:rPr>
          <w:rFonts w:ascii="Arial" w:eastAsia="Arial" w:hAnsi="Arial" w:cs="Arial"/>
          <w:color w:val="000000"/>
        </w:rPr>
      </w:pPr>
      <w:bookmarkStart w:id="4" w:name="_heading=h.3znysh7" w:colFirst="0" w:colLast="0"/>
      <w:bookmarkEnd w:id="4"/>
      <w:r>
        <w:rPr>
          <w:rFonts w:ascii="Arial" w:eastAsia="Arial" w:hAnsi="Arial" w:cs="Arial"/>
          <w:color w:val="000000"/>
          <w:u w:val="single"/>
        </w:rPr>
        <w:t xml:space="preserve">La piedra del </w:t>
      </w:r>
      <w:proofErr w:type="spellStart"/>
      <w:r>
        <w:rPr>
          <w:rFonts w:ascii="Arial" w:eastAsia="Arial" w:hAnsi="Arial" w:cs="Arial"/>
          <w:color w:val="000000"/>
          <w:u w:val="single"/>
        </w:rPr>
        <w:t>tymanso</w:t>
      </w:r>
      <w:proofErr w:type="spellEnd"/>
      <w:r>
        <w:rPr>
          <w:rFonts w:ascii="Arial" w:eastAsia="Arial" w:hAnsi="Arial" w:cs="Arial"/>
          <w:color w:val="000000"/>
          <w:u w:val="single"/>
        </w:rPr>
        <w:t xml:space="preserve"> o del chulo</w:t>
      </w:r>
      <w:r>
        <w:rPr>
          <w:rFonts w:ascii="Arial" w:eastAsia="Arial" w:hAnsi="Arial" w:cs="Arial"/>
          <w:color w:val="000000"/>
        </w:rPr>
        <w:t xml:space="preserve">, la cual se encuentra en el punto más alto del cerro, siendo privatizado y profanado este lugar, sin embargo, continua su memoria y relicto. Esta piedra se utiliza para cerrar acuerdos comerciales y maritales, allí se volvió a realizar una ceremonia en el año 2001 de la Gobernadora Alba </w:t>
      </w:r>
      <w:proofErr w:type="spellStart"/>
      <w:r>
        <w:rPr>
          <w:rFonts w:ascii="Arial" w:eastAsia="Arial" w:hAnsi="Arial" w:cs="Arial"/>
          <w:color w:val="000000"/>
        </w:rPr>
        <w:t>Mususu</w:t>
      </w:r>
      <w:proofErr w:type="spellEnd"/>
      <w:r>
        <w:rPr>
          <w:rFonts w:ascii="Arial" w:eastAsia="Arial" w:hAnsi="Arial" w:cs="Arial"/>
          <w:color w:val="000000"/>
        </w:rPr>
        <w:t xml:space="preserve"> y un amazónico.</w:t>
      </w:r>
    </w:p>
    <w:p w14:paraId="027CF113" w14:textId="77777777" w:rsidR="00DF5FE6" w:rsidRDefault="00F15831">
      <w:pPr>
        <w:widowControl/>
        <w:numPr>
          <w:ilvl w:val="0"/>
          <w:numId w:val="5"/>
        </w:numPr>
        <w:pBdr>
          <w:top w:val="nil"/>
          <w:left w:val="nil"/>
          <w:bottom w:val="nil"/>
          <w:right w:val="nil"/>
          <w:between w:val="nil"/>
        </w:pBdr>
        <w:spacing w:line="360" w:lineRule="auto"/>
        <w:ind w:firstLine="0"/>
        <w:jc w:val="both"/>
        <w:rPr>
          <w:rFonts w:ascii="Arial" w:eastAsia="Arial" w:hAnsi="Arial" w:cs="Arial"/>
          <w:color w:val="000000"/>
        </w:rPr>
      </w:pPr>
      <w:r>
        <w:rPr>
          <w:rFonts w:ascii="Arial" w:eastAsia="Arial" w:hAnsi="Arial" w:cs="Arial"/>
          <w:color w:val="000000"/>
          <w:u w:val="single"/>
        </w:rPr>
        <w:t>La cueva del armadillo</w:t>
      </w:r>
      <w:r>
        <w:rPr>
          <w:rFonts w:ascii="Arial" w:eastAsia="Arial" w:hAnsi="Arial" w:cs="Arial"/>
          <w:color w:val="000000"/>
        </w:rPr>
        <w:t>, es una cueva natural que conecta el mundo de abajo con nuestro mundo, siendo este lugar misterioso, los abuelos cuentan que por entre la cueva se llega a Guatavita. Actualmente está cueva es visible y se le hacen pagamentos.</w:t>
      </w:r>
    </w:p>
    <w:p w14:paraId="0E391389" w14:textId="77777777" w:rsidR="00DF5FE6" w:rsidRDefault="00DF5FE6">
      <w:pPr>
        <w:jc w:val="both"/>
        <w:rPr>
          <w:rFonts w:ascii="Arial" w:eastAsia="Arial" w:hAnsi="Arial" w:cs="Arial"/>
        </w:rPr>
      </w:pPr>
    </w:p>
    <w:p w14:paraId="3EAF3A00" w14:textId="77777777" w:rsidR="00DF5FE6" w:rsidRDefault="00F15831">
      <w:pPr>
        <w:jc w:val="center"/>
        <w:rPr>
          <w:rFonts w:ascii="Arial" w:eastAsia="Arial" w:hAnsi="Arial" w:cs="Arial"/>
          <w:b/>
        </w:rPr>
      </w:pPr>
      <w:r>
        <w:rPr>
          <w:rFonts w:ascii="Arial" w:eastAsia="Arial" w:hAnsi="Arial" w:cs="Arial"/>
          <w:b/>
          <w:noProof/>
        </w:rPr>
        <w:lastRenderedPageBreak/>
        <w:drawing>
          <wp:inline distT="0" distB="0" distL="0" distR="0" wp14:anchorId="0ED347CB" wp14:editId="5A75FEFA">
            <wp:extent cx="3445297" cy="4079440"/>
            <wp:effectExtent l="0" t="0" r="0" b="0"/>
            <wp:docPr id="162221323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3445297" cy="4079440"/>
                    </a:xfrm>
                    <a:prstGeom prst="rect">
                      <a:avLst/>
                    </a:prstGeom>
                    <a:ln/>
                  </pic:spPr>
                </pic:pic>
              </a:graphicData>
            </a:graphic>
          </wp:inline>
        </w:drawing>
      </w:r>
    </w:p>
    <w:p w14:paraId="6350EA90" w14:textId="77777777" w:rsidR="00DF5FE6" w:rsidRDefault="00DF5FE6">
      <w:pPr>
        <w:jc w:val="both"/>
        <w:rPr>
          <w:rFonts w:ascii="Arial" w:eastAsia="Arial" w:hAnsi="Arial" w:cs="Arial"/>
          <w:b/>
        </w:rPr>
      </w:pPr>
    </w:p>
    <w:p w14:paraId="32438AFA" w14:textId="77777777" w:rsidR="00DF5FE6" w:rsidRDefault="00DF5FE6">
      <w:pPr>
        <w:jc w:val="both"/>
        <w:rPr>
          <w:rFonts w:ascii="Arial" w:eastAsia="Arial" w:hAnsi="Arial" w:cs="Arial"/>
          <w:b/>
        </w:rPr>
      </w:pPr>
    </w:p>
    <w:p w14:paraId="64376B8A" w14:textId="77777777" w:rsidR="00DF5FE6" w:rsidRDefault="00F15831">
      <w:pPr>
        <w:jc w:val="both"/>
        <w:rPr>
          <w:rFonts w:ascii="Arial" w:eastAsia="Arial" w:hAnsi="Arial" w:cs="Arial"/>
        </w:rPr>
      </w:pPr>
      <w:r>
        <w:rPr>
          <w:rFonts w:ascii="Arial" w:eastAsia="Arial" w:hAnsi="Arial" w:cs="Arial"/>
          <w:b/>
        </w:rPr>
        <w:t>Sistema de pensamiento.</w:t>
      </w:r>
      <w:r>
        <w:rPr>
          <w:rFonts w:ascii="Arial" w:eastAsia="Arial" w:hAnsi="Arial" w:cs="Arial"/>
        </w:rPr>
        <w:t xml:space="preserve"> </w:t>
      </w:r>
    </w:p>
    <w:p w14:paraId="3D257B5A" w14:textId="77777777" w:rsidR="00DF5FE6" w:rsidRDefault="00DF5FE6">
      <w:pPr>
        <w:jc w:val="both"/>
        <w:rPr>
          <w:rFonts w:ascii="Arial" w:eastAsia="Arial" w:hAnsi="Arial" w:cs="Arial"/>
        </w:rPr>
      </w:pPr>
    </w:p>
    <w:p w14:paraId="61FA0CF3" w14:textId="77777777" w:rsidR="00DF5FE6" w:rsidRDefault="00F15831">
      <w:pPr>
        <w:spacing w:line="360" w:lineRule="auto"/>
        <w:jc w:val="both"/>
        <w:rPr>
          <w:rFonts w:ascii="Arial" w:eastAsia="Arial" w:hAnsi="Arial" w:cs="Arial"/>
        </w:rPr>
      </w:pPr>
      <w:r>
        <w:rPr>
          <w:rFonts w:ascii="Arial" w:eastAsia="Arial" w:hAnsi="Arial" w:cs="Arial"/>
        </w:rPr>
        <w:t>El sistema de pensamiento indica el orden colectivo, el orden relacional que posibilita el desarrollo de la experiencia de comunidad, es una experiencia permanente de comunión entendiendo que la vida es un tejido de relaciones. Todo es relación, la vida, los reinos de la naturaleza que, a la vez, corresponden con dimensiones interiores del ser humano. Este sistema se mueve en dos dimensiones fundamentales: una dimensión molar, es decir, que es perceptible a los sentidos, lo que se puede ver, oler, palpar, escuchar, en otras palabras, ésta es la dimensión visible de la vida. La otra dimensión es la molecular, que corresponde a un tejido infinito de circuitos de energía y pensamientos que no son perceptibles para los sentidos comunes, sino que son aprehensibles para un sentido que los abuelos llamaban, superior. Ese es el principio que tradicionalmente se ubica cerca al corazón humano, una facultad que debe ser desarrollada desde antes de la concepción, siendo denominada como la dimensión del sentir.</w:t>
      </w:r>
    </w:p>
    <w:p w14:paraId="50CFBDA3" w14:textId="77777777" w:rsidR="00DF5FE6" w:rsidRDefault="00DF5FE6">
      <w:pPr>
        <w:spacing w:line="360" w:lineRule="auto"/>
        <w:jc w:val="both"/>
        <w:rPr>
          <w:rFonts w:ascii="Arial" w:eastAsia="Arial" w:hAnsi="Arial" w:cs="Arial"/>
        </w:rPr>
      </w:pPr>
    </w:p>
    <w:p w14:paraId="4CAAFD9E" w14:textId="77777777" w:rsidR="00DF5FE6" w:rsidRDefault="00F15831">
      <w:pPr>
        <w:spacing w:line="360" w:lineRule="auto"/>
        <w:jc w:val="both"/>
        <w:rPr>
          <w:rFonts w:ascii="Arial" w:eastAsia="Arial" w:hAnsi="Arial" w:cs="Arial"/>
        </w:rPr>
      </w:pPr>
      <w:r>
        <w:rPr>
          <w:rFonts w:ascii="Arial" w:eastAsia="Arial" w:hAnsi="Arial" w:cs="Arial"/>
        </w:rPr>
        <w:t>En correspondencia con este sistema, el territorio es un múltiple entramado. En lo evidente,</w:t>
      </w:r>
    </w:p>
    <w:p w14:paraId="56D06359" w14:textId="77777777" w:rsidR="00DF5FE6" w:rsidRDefault="00F15831">
      <w:pPr>
        <w:spacing w:line="360" w:lineRule="auto"/>
        <w:jc w:val="both"/>
        <w:rPr>
          <w:rFonts w:ascii="Arial" w:eastAsia="Arial" w:hAnsi="Arial" w:cs="Arial"/>
        </w:rPr>
      </w:pPr>
      <w:r>
        <w:rPr>
          <w:rFonts w:ascii="Arial" w:eastAsia="Arial" w:hAnsi="Arial" w:cs="Arial"/>
        </w:rPr>
        <w:t>es un conjunto de movimientos de la tierra expresados en montañas, lagunas, valles, ríos, cuencas altiplanicies y junto con ello, una expresión diversa de la vida: una comunidad de plantas, árboles y comunidades múltiples de animales. Ellos conforman un sistema que funciona en interdependencia y en relación de complementariedad.</w:t>
      </w:r>
    </w:p>
    <w:p w14:paraId="13803C14" w14:textId="77777777" w:rsidR="00DF5FE6" w:rsidRDefault="00DF5FE6">
      <w:pPr>
        <w:jc w:val="both"/>
        <w:rPr>
          <w:rFonts w:ascii="Arial" w:eastAsia="Arial" w:hAnsi="Arial" w:cs="Arial"/>
        </w:rPr>
      </w:pPr>
    </w:p>
    <w:p w14:paraId="398D9093" w14:textId="77777777" w:rsidR="00DF5FE6" w:rsidRDefault="00F15831">
      <w:pPr>
        <w:jc w:val="both"/>
        <w:rPr>
          <w:rFonts w:ascii="Arial" w:eastAsia="Arial" w:hAnsi="Arial" w:cs="Arial"/>
          <w:b/>
        </w:rPr>
      </w:pPr>
      <w:r>
        <w:rPr>
          <w:rFonts w:ascii="Arial" w:eastAsia="Arial" w:hAnsi="Arial" w:cs="Arial"/>
          <w:b/>
        </w:rPr>
        <w:t>Ordenamiento del territorio desde la ley de origen Muisca</w:t>
      </w:r>
    </w:p>
    <w:p w14:paraId="06F031EB" w14:textId="77777777" w:rsidR="00DF5FE6" w:rsidRDefault="00DF5FE6">
      <w:pPr>
        <w:jc w:val="both"/>
        <w:rPr>
          <w:rFonts w:ascii="Arial" w:eastAsia="Arial" w:hAnsi="Arial" w:cs="Arial"/>
          <w:b/>
        </w:rPr>
      </w:pPr>
    </w:p>
    <w:p w14:paraId="47B7C808" w14:textId="77777777" w:rsidR="00DF5FE6" w:rsidRDefault="00F15831">
      <w:pPr>
        <w:spacing w:line="360" w:lineRule="auto"/>
        <w:jc w:val="both"/>
        <w:rPr>
          <w:rFonts w:ascii="Arial" w:eastAsia="Arial" w:hAnsi="Arial" w:cs="Arial"/>
        </w:rPr>
      </w:pPr>
      <w:r>
        <w:rPr>
          <w:rFonts w:ascii="Arial" w:eastAsia="Arial" w:hAnsi="Arial" w:cs="Arial"/>
        </w:rPr>
        <w:t>En las culturas tradicionales ha existido el conocimiento del territorio porque es parte fundamental de la cultura. En el proceso de conquista, de vasallaje y de colonización muchos pueblos han refundido este conocimiento. A pesar de esto, el territorio es un sistema vivo que se mueve permanentemente. En este entramado espiritual y energético y en esa expresión biofísica, si ya no hay cultura humana los territorios quedan abandonados y carentes de todo lo que el pensamiento humano puede proveer. Todo funciona permanentemente en acuerdo, en reciprocidad, es por eso que somos hijos del territorio. Cuando nacemos en un territorio, contenemos su memoria y matriz desde la primera inspiración del aire. Por allí reposan nuestros ombligos umbilicales y nuestras placentas, sembradas literalmente en nuestras viviendas.</w:t>
      </w:r>
    </w:p>
    <w:p w14:paraId="7081B591" w14:textId="77777777" w:rsidR="00DF5FE6" w:rsidRDefault="00DF5FE6">
      <w:pPr>
        <w:spacing w:line="360" w:lineRule="auto"/>
        <w:jc w:val="both"/>
        <w:rPr>
          <w:rFonts w:ascii="Arial" w:eastAsia="Arial" w:hAnsi="Arial" w:cs="Arial"/>
        </w:rPr>
      </w:pPr>
    </w:p>
    <w:p w14:paraId="3B1F73A3" w14:textId="77777777" w:rsidR="00DF5FE6" w:rsidRDefault="00F15831">
      <w:pPr>
        <w:spacing w:line="360" w:lineRule="auto"/>
        <w:jc w:val="both"/>
        <w:rPr>
          <w:rFonts w:ascii="Arial" w:eastAsia="Arial" w:hAnsi="Arial" w:cs="Arial"/>
        </w:rPr>
      </w:pPr>
      <w:r>
        <w:rPr>
          <w:rFonts w:ascii="Arial" w:eastAsia="Arial" w:hAnsi="Arial" w:cs="Arial"/>
        </w:rPr>
        <w:t>La protección del territorio es vital para el ordenamiento, mantenimiento y sostenimiento de</w:t>
      </w:r>
    </w:p>
    <w:p w14:paraId="40A406B6" w14:textId="77777777" w:rsidR="00DF5FE6" w:rsidRDefault="00F15831">
      <w:pPr>
        <w:spacing w:line="360" w:lineRule="auto"/>
        <w:jc w:val="both"/>
        <w:rPr>
          <w:rFonts w:ascii="Arial" w:eastAsia="Arial" w:hAnsi="Arial" w:cs="Arial"/>
        </w:rPr>
      </w:pPr>
      <w:r>
        <w:rPr>
          <w:rFonts w:ascii="Arial" w:eastAsia="Arial" w:hAnsi="Arial" w:cs="Arial"/>
        </w:rPr>
        <w:t xml:space="preserve">la vida en la Tierra. La ley de origen, acorde al Pueblo Muisca es la ley del universo, son las ordenanzas que entregaron las fuerzas creadoras de todo lo existente para vivir en armonía con el territorio. En el pensamiento Muisca existe la ley de origen, que constituye la ruta de navegación para conservar el orden y equilibrio del mundo, que se debe mantener para que las diferentes. </w:t>
      </w:r>
    </w:p>
    <w:p w14:paraId="6FA24D6E" w14:textId="77777777" w:rsidR="00DF5FE6" w:rsidRDefault="00DF5FE6">
      <w:pPr>
        <w:jc w:val="both"/>
        <w:rPr>
          <w:rFonts w:ascii="Arial" w:eastAsia="Arial" w:hAnsi="Arial" w:cs="Arial"/>
        </w:rPr>
      </w:pPr>
    </w:p>
    <w:p w14:paraId="40816295" w14:textId="77777777" w:rsidR="00DF5FE6" w:rsidRDefault="00F15831">
      <w:pPr>
        <w:jc w:val="both"/>
        <w:rPr>
          <w:rFonts w:ascii="Arial" w:eastAsia="Arial" w:hAnsi="Arial" w:cs="Arial"/>
          <w:b/>
        </w:rPr>
      </w:pPr>
      <w:r>
        <w:rPr>
          <w:rFonts w:ascii="Arial" w:eastAsia="Arial" w:hAnsi="Arial" w:cs="Arial"/>
          <w:b/>
        </w:rPr>
        <w:t>Códigos propios, diez principios de origen, a saber:</w:t>
      </w:r>
    </w:p>
    <w:p w14:paraId="3EAFBE14" w14:textId="77777777" w:rsidR="00DF5FE6" w:rsidRDefault="00DF5FE6">
      <w:pPr>
        <w:jc w:val="both"/>
        <w:rPr>
          <w:rFonts w:ascii="Arial" w:eastAsia="Arial" w:hAnsi="Arial" w:cs="Arial"/>
          <w:b/>
        </w:rPr>
      </w:pPr>
    </w:p>
    <w:p w14:paraId="771BD7D5"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Todos somos gente y hermanos: es el reconocimiento de que todos somos iguales y de que todos tenemos derechos y deberes.</w:t>
      </w:r>
    </w:p>
    <w:p w14:paraId="02340D07"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 xml:space="preserve">Todo nace desde la pareja y la familia: es el principio que se refiere a la dualidad, al </w:t>
      </w:r>
      <w:r>
        <w:rPr>
          <w:rFonts w:ascii="Arial" w:eastAsia="Arial" w:hAnsi="Arial" w:cs="Arial"/>
          <w:color w:val="000000"/>
        </w:rPr>
        <w:lastRenderedPageBreak/>
        <w:t>equilibrio, a la enseñanza desde la familia.</w:t>
      </w:r>
    </w:p>
    <w:p w14:paraId="21E488C1"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Quienes mueren, coexisten con nosotros y otros mundos: hace referencia a distintos planos de existencia, a distintos mundos y niveles de comprensión de la vida.</w:t>
      </w:r>
    </w:p>
    <w:p w14:paraId="575F2B55"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Alimentar a los ancestros: es el valor de la reciprocidad, es el pagamento como forma de retribución de lo recibido, pero así mismo, la forma de ordenar los desequilibrios del pensamiento, la familia y la comunidad.</w:t>
      </w:r>
    </w:p>
    <w:p w14:paraId="790E36D7"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El territorio es un todo cósmico: el territorio es la base de la Ley de Origen, es la existencia misma del ser Muisca, por tal razón debe cuidarse y protegerse, es la base de la recuperación cultural.</w:t>
      </w:r>
    </w:p>
    <w:p w14:paraId="315AC394"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La colectividad como unidad: es el principio de unidad, de pensar, de trabajar, de compartir en comunidad.</w:t>
      </w:r>
    </w:p>
    <w:p w14:paraId="020DC6C8"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Todo se comparte: en la medida en que todos somos iguales y pensamos colectivamente, podemos compartir el alimento, la vida, el pensamiento, la lucha por la reivindicación y la recuperación por el territorio.</w:t>
      </w:r>
    </w:p>
    <w:p w14:paraId="658F9B1B"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Proteger la vida y la identidad como Muisca: es el deber como Muisca proteger el territorio, la cultura, los usos y costumbres, las tradiciones, la vida y la identidad como derecho de pervivencia como pueblo indígena.</w:t>
      </w:r>
    </w:p>
    <w:p w14:paraId="513E3A58"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Todo tiene memoria: se refiere al tiempo, a la espiral que conecta a los ancestros y abuelos con las generaciones actuales, al ejercicio de recordar en la práctica.</w:t>
      </w:r>
    </w:p>
    <w:p w14:paraId="5B512326" w14:textId="77777777" w:rsidR="00DF5FE6" w:rsidRDefault="00F15831">
      <w:pPr>
        <w:numPr>
          <w:ilvl w:val="0"/>
          <w:numId w:val="7"/>
        </w:numPr>
        <w:pBdr>
          <w:top w:val="nil"/>
          <w:left w:val="nil"/>
          <w:bottom w:val="nil"/>
          <w:right w:val="nil"/>
          <w:between w:val="nil"/>
        </w:pBdr>
        <w:spacing w:line="360" w:lineRule="auto"/>
        <w:ind w:left="714" w:hanging="357"/>
        <w:jc w:val="both"/>
        <w:rPr>
          <w:rFonts w:ascii="Arial" w:eastAsia="Arial" w:hAnsi="Arial" w:cs="Arial"/>
          <w:color w:val="000000"/>
        </w:rPr>
      </w:pPr>
      <w:r>
        <w:rPr>
          <w:rFonts w:ascii="Arial" w:eastAsia="Arial" w:hAnsi="Arial" w:cs="Arial"/>
          <w:color w:val="000000"/>
        </w:rPr>
        <w:t>No hacer daño: se refiere a pensar y actuar dulcemente, sin envidias, ni chismes, ni habladurías, sin afectar a la armonía del territorio.”</w:t>
      </w:r>
    </w:p>
    <w:p w14:paraId="52BE5932" w14:textId="77777777" w:rsidR="00DF5FE6" w:rsidRDefault="00DF5FE6">
      <w:pPr>
        <w:rPr>
          <w:rFonts w:ascii="Arial" w:eastAsia="Arial" w:hAnsi="Arial" w:cs="Arial"/>
          <w:b/>
        </w:rPr>
      </w:pPr>
    </w:p>
    <w:p w14:paraId="6B70BEAF" w14:textId="77777777" w:rsidR="00DF5FE6" w:rsidRDefault="00DF5FE6">
      <w:pPr>
        <w:rPr>
          <w:rFonts w:ascii="Arial" w:eastAsia="Arial" w:hAnsi="Arial" w:cs="Arial"/>
          <w:b/>
        </w:rPr>
      </w:pPr>
    </w:p>
    <w:p w14:paraId="5F503283" w14:textId="77777777" w:rsidR="00DF5FE6" w:rsidRDefault="00F15831">
      <w:pPr>
        <w:spacing w:line="259" w:lineRule="auto"/>
        <w:rPr>
          <w:rFonts w:ascii="Arial" w:eastAsia="Arial" w:hAnsi="Arial" w:cs="Arial"/>
          <w:b/>
        </w:rPr>
      </w:pPr>
      <w:r>
        <w:rPr>
          <w:rFonts w:ascii="Arial" w:eastAsia="Arial" w:hAnsi="Arial" w:cs="Arial"/>
          <w:b/>
        </w:rPr>
        <w:t xml:space="preserve">1.1. Historia del Pueblo </w:t>
      </w:r>
      <w:proofErr w:type="spellStart"/>
      <w:r>
        <w:rPr>
          <w:rFonts w:ascii="Arial" w:eastAsia="Arial" w:hAnsi="Arial" w:cs="Arial"/>
          <w:b/>
        </w:rPr>
        <w:t>Muysca</w:t>
      </w:r>
      <w:proofErr w:type="spellEnd"/>
      <w:r>
        <w:rPr>
          <w:rFonts w:ascii="Arial" w:eastAsia="Arial" w:hAnsi="Arial" w:cs="Arial"/>
          <w:b/>
        </w:rPr>
        <w:t xml:space="preserve"> en el Territorio</w:t>
      </w:r>
    </w:p>
    <w:p w14:paraId="22AEBE02" w14:textId="77777777" w:rsidR="00DF5FE6" w:rsidRDefault="00DF5FE6">
      <w:pPr>
        <w:spacing w:line="259" w:lineRule="auto"/>
        <w:rPr>
          <w:rFonts w:ascii="Arial" w:eastAsia="Arial" w:hAnsi="Arial" w:cs="Arial"/>
          <w:b/>
        </w:rPr>
      </w:pPr>
    </w:p>
    <w:p w14:paraId="24BC1437" w14:textId="77777777" w:rsidR="00DF5FE6" w:rsidRDefault="00F15831">
      <w:pPr>
        <w:spacing w:line="360" w:lineRule="auto"/>
        <w:jc w:val="both"/>
        <w:rPr>
          <w:rFonts w:ascii="Arial" w:eastAsia="Arial" w:hAnsi="Arial" w:cs="Arial"/>
        </w:rPr>
      </w:pPr>
      <w:bookmarkStart w:id="5" w:name="_heading=h.2et92p0" w:colFirst="0" w:colLast="0"/>
      <w:bookmarkEnd w:id="5"/>
      <w:r>
        <w:rPr>
          <w:rFonts w:ascii="Arial" w:eastAsia="Arial" w:hAnsi="Arial" w:cs="Arial"/>
        </w:rPr>
        <w:t xml:space="preserve">El pueblo </w:t>
      </w:r>
      <w:proofErr w:type="spellStart"/>
      <w:r>
        <w:rPr>
          <w:rFonts w:ascii="Arial" w:eastAsia="Arial" w:hAnsi="Arial" w:cs="Arial"/>
        </w:rPr>
        <w:t>Muysca</w:t>
      </w:r>
      <w:proofErr w:type="spellEnd"/>
      <w:r>
        <w:rPr>
          <w:rFonts w:ascii="Arial" w:eastAsia="Arial" w:hAnsi="Arial" w:cs="Arial"/>
        </w:rPr>
        <w:t xml:space="preserve">, una de las principales civilizaciones precolombinas de la región andina de Colombia, habita las áreas que hoy comprenden Bogotá y sus alrededores. El Cerro La Conejera es uno de los numerosos sitios sagrados que forman parte del paisaje cultural y espiritual de los </w:t>
      </w:r>
      <w:proofErr w:type="spellStart"/>
      <w:r>
        <w:rPr>
          <w:rFonts w:ascii="Arial" w:eastAsia="Arial" w:hAnsi="Arial" w:cs="Arial"/>
        </w:rPr>
        <w:t>Muysca</w:t>
      </w:r>
      <w:proofErr w:type="spellEnd"/>
      <w:r>
        <w:rPr>
          <w:rFonts w:ascii="Arial" w:eastAsia="Arial" w:hAnsi="Arial" w:cs="Arial"/>
        </w:rPr>
        <w:t xml:space="preserve">. Los </w:t>
      </w:r>
      <w:proofErr w:type="spellStart"/>
      <w:r>
        <w:rPr>
          <w:rFonts w:ascii="Arial" w:eastAsia="Arial" w:hAnsi="Arial" w:cs="Arial"/>
        </w:rPr>
        <w:t>muysca</w:t>
      </w:r>
      <w:proofErr w:type="spellEnd"/>
      <w:r>
        <w:rPr>
          <w:rFonts w:ascii="Arial" w:eastAsia="Arial" w:hAnsi="Arial" w:cs="Arial"/>
        </w:rPr>
        <w:t xml:space="preserve"> han resistido a la invasión, colonización, encomienda, resguardos, municipios y lo que actualmente se denomina Distrito, permaneciendo en su territorio de origen y donde sus ancestros han nacido y muerto históricamente.</w:t>
      </w:r>
    </w:p>
    <w:p w14:paraId="5E605261" w14:textId="77777777" w:rsidR="00DF5FE6" w:rsidRDefault="00DF5FE6">
      <w:pPr>
        <w:spacing w:line="360" w:lineRule="auto"/>
        <w:jc w:val="both"/>
        <w:rPr>
          <w:rFonts w:ascii="Arial" w:eastAsia="Arial" w:hAnsi="Arial" w:cs="Arial"/>
        </w:rPr>
      </w:pPr>
    </w:p>
    <w:p w14:paraId="30452942" w14:textId="77777777" w:rsidR="00DF5FE6" w:rsidRDefault="00F15831">
      <w:pPr>
        <w:jc w:val="center"/>
        <w:rPr>
          <w:rFonts w:ascii="Arial" w:eastAsia="Arial" w:hAnsi="Arial" w:cs="Arial"/>
        </w:rPr>
      </w:pPr>
      <w:r>
        <w:rPr>
          <w:rFonts w:ascii="Arial" w:eastAsia="Arial" w:hAnsi="Arial" w:cs="Arial"/>
          <w:noProof/>
        </w:rPr>
        <w:drawing>
          <wp:inline distT="0" distB="0" distL="0" distR="0" wp14:anchorId="7BC39A8D" wp14:editId="1A0D1C58">
            <wp:extent cx="5176487" cy="3668861"/>
            <wp:effectExtent l="0" t="0" r="0" b="0"/>
            <wp:docPr id="162221323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5176487" cy="3668861"/>
                    </a:xfrm>
                    <a:prstGeom prst="rect">
                      <a:avLst/>
                    </a:prstGeom>
                    <a:ln/>
                  </pic:spPr>
                </pic:pic>
              </a:graphicData>
            </a:graphic>
          </wp:inline>
        </w:drawing>
      </w:r>
    </w:p>
    <w:p w14:paraId="684C9088" w14:textId="77777777" w:rsidR="00DF5FE6" w:rsidRDefault="00F15831">
      <w:pPr>
        <w:jc w:val="center"/>
        <w:rPr>
          <w:rFonts w:ascii="Arial" w:eastAsia="Arial" w:hAnsi="Arial" w:cs="Arial"/>
          <w:sz w:val="18"/>
          <w:szCs w:val="18"/>
        </w:rPr>
      </w:pPr>
      <w:r>
        <w:rPr>
          <w:rFonts w:ascii="Arial" w:eastAsia="Arial" w:hAnsi="Arial" w:cs="Arial"/>
          <w:sz w:val="18"/>
          <w:szCs w:val="18"/>
        </w:rPr>
        <w:t xml:space="preserve">Camellones de cultivo ancestrales, Hacienda La Conejera 1964. </w:t>
      </w:r>
      <w:proofErr w:type="spellStart"/>
      <w:proofErr w:type="gramStart"/>
      <w:r>
        <w:rPr>
          <w:rFonts w:ascii="Arial" w:eastAsia="Arial" w:hAnsi="Arial" w:cs="Arial"/>
          <w:sz w:val="18"/>
          <w:szCs w:val="18"/>
        </w:rPr>
        <w:t>Aerofoto:Agustín</w:t>
      </w:r>
      <w:proofErr w:type="spellEnd"/>
      <w:proofErr w:type="gramEnd"/>
      <w:r>
        <w:rPr>
          <w:rFonts w:ascii="Arial" w:eastAsia="Arial" w:hAnsi="Arial" w:cs="Arial"/>
          <w:sz w:val="18"/>
          <w:szCs w:val="18"/>
        </w:rPr>
        <w:t xml:space="preserve"> Codazzi</w:t>
      </w:r>
    </w:p>
    <w:p w14:paraId="5C519D27" w14:textId="77777777" w:rsidR="00DF5FE6" w:rsidRDefault="00DF5FE6">
      <w:pPr>
        <w:rPr>
          <w:rFonts w:ascii="Arial" w:eastAsia="Arial" w:hAnsi="Arial" w:cs="Arial"/>
        </w:rPr>
      </w:pPr>
    </w:p>
    <w:p w14:paraId="4206C2A6" w14:textId="77777777" w:rsidR="00DF5FE6" w:rsidRDefault="00F15831">
      <w:pPr>
        <w:widowControl/>
        <w:numPr>
          <w:ilvl w:val="2"/>
          <w:numId w:val="4"/>
        </w:numPr>
        <w:pBdr>
          <w:top w:val="nil"/>
          <w:left w:val="nil"/>
          <w:bottom w:val="nil"/>
          <w:right w:val="nil"/>
          <w:between w:val="nil"/>
        </w:pBdr>
        <w:spacing w:line="259" w:lineRule="auto"/>
        <w:rPr>
          <w:rFonts w:ascii="Arial" w:eastAsia="Arial" w:hAnsi="Arial" w:cs="Arial"/>
          <w:b/>
          <w:color w:val="000000"/>
        </w:rPr>
      </w:pPr>
      <w:r>
        <w:rPr>
          <w:rFonts w:ascii="Arial" w:eastAsia="Arial" w:hAnsi="Arial" w:cs="Arial"/>
          <w:b/>
          <w:color w:val="000000"/>
        </w:rPr>
        <w:t>Significado Espiritual</w:t>
      </w:r>
    </w:p>
    <w:p w14:paraId="18664036" w14:textId="77777777" w:rsidR="00DF5FE6" w:rsidRDefault="00DF5FE6">
      <w:pPr>
        <w:pBdr>
          <w:top w:val="nil"/>
          <w:left w:val="nil"/>
          <w:bottom w:val="nil"/>
          <w:right w:val="nil"/>
          <w:between w:val="nil"/>
        </w:pBdr>
        <w:ind w:left="720"/>
        <w:rPr>
          <w:rFonts w:ascii="Arial" w:eastAsia="Arial" w:hAnsi="Arial" w:cs="Arial"/>
          <w:b/>
          <w:color w:val="000000"/>
        </w:rPr>
      </w:pPr>
    </w:p>
    <w:p w14:paraId="25BA0C4B" w14:textId="77777777" w:rsidR="00DF5FE6" w:rsidRDefault="00F15831">
      <w:pPr>
        <w:spacing w:line="360" w:lineRule="auto"/>
        <w:jc w:val="both"/>
        <w:rPr>
          <w:rFonts w:ascii="Arial" w:eastAsia="Arial" w:hAnsi="Arial" w:cs="Arial"/>
        </w:rPr>
      </w:pPr>
      <w:r>
        <w:rPr>
          <w:rFonts w:ascii="Arial" w:eastAsia="Arial" w:hAnsi="Arial" w:cs="Arial"/>
        </w:rPr>
        <w:t xml:space="preserve">El Cerro La Conejera es considerado un lugar sagrado debido a su conexión con las deidades naturales y los espíritus ancestrales de los antiguos. Los </w:t>
      </w:r>
      <w:proofErr w:type="spellStart"/>
      <w:r>
        <w:rPr>
          <w:rFonts w:ascii="Arial" w:eastAsia="Arial" w:hAnsi="Arial" w:cs="Arial"/>
        </w:rPr>
        <w:t>Muysca</w:t>
      </w:r>
      <w:proofErr w:type="spellEnd"/>
      <w:r>
        <w:rPr>
          <w:rFonts w:ascii="Arial" w:eastAsia="Arial" w:hAnsi="Arial" w:cs="Arial"/>
        </w:rPr>
        <w:t xml:space="preserve"> realizan rituales y ofrendas en este cerro para honrar a los </w:t>
      </w:r>
      <w:proofErr w:type="spellStart"/>
      <w:r>
        <w:rPr>
          <w:rFonts w:ascii="Arial" w:eastAsia="Arial" w:hAnsi="Arial" w:cs="Arial"/>
        </w:rPr>
        <w:t>tybas</w:t>
      </w:r>
      <w:proofErr w:type="spellEnd"/>
      <w:r>
        <w:rPr>
          <w:rFonts w:ascii="Arial" w:eastAsia="Arial" w:hAnsi="Arial" w:cs="Arial"/>
        </w:rPr>
        <w:t xml:space="preserve">, </w:t>
      </w:r>
      <w:proofErr w:type="spellStart"/>
      <w:r>
        <w:rPr>
          <w:rFonts w:ascii="Arial" w:eastAsia="Arial" w:hAnsi="Arial" w:cs="Arial"/>
        </w:rPr>
        <w:t>sihipquas</w:t>
      </w:r>
      <w:proofErr w:type="spellEnd"/>
      <w:r>
        <w:rPr>
          <w:rFonts w:ascii="Arial" w:eastAsia="Arial" w:hAnsi="Arial" w:cs="Arial"/>
        </w:rPr>
        <w:t xml:space="preserve"> y </w:t>
      </w:r>
      <w:proofErr w:type="spellStart"/>
      <w:r>
        <w:rPr>
          <w:rFonts w:ascii="Arial" w:eastAsia="Arial" w:hAnsi="Arial" w:cs="Arial"/>
        </w:rPr>
        <w:t>uexicas</w:t>
      </w:r>
      <w:proofErr w:type="spellEnd"/>
      <w:r>
        <w:rPr>
          <w:rFonts w:ascii="Arial" w:eastAsia="Arial" w:hAnsi="Arial" w:cs="Arial"/>
        </w:rPr>
        <w:t>, se realizan rituales para agradecer por las cosechas y pedir por la prosperidad de su comunidad.</w:t>
      </w:r>
    </w:p>
    <w:p w14:paraId="6D766752" w14:textId="77777777" w:rsidR="00DF5FE6" w:rsidRDefault="00DF5FE6">
      <w:pPr>
        <w:spacing w:line="259" w:lineRule="auto"/>
        <w:jc w:val="both"/>
        <w:rPr>
          <w:rFonts w:ascii="Arial" w:eastAsia="Arial" w:hAnsi="Arial" w:cs="Arial"/>
        </w:rPr>
      </w:pPr>
    </w:p>
    <w:p w14:paraId="726698F7" w14:textId="77777777" w:rsidR="00DF5FE6" w:rsidRDefault="00F15831">
      <w:pPr>
        <w:widowControl/>
        <w:numPr>
          <w:ilvl w:val="2"/>
          <w:numId w:val="4"/>
        </w:numPr>
        <w:pBdr>
          <w:top w:val="nil"/>
          <w:left w:val="nil"/>
          <w:bottom w:val="nil"/>
          <w:right w:val="nil"/>
          <w:between w:val="nil"/>
        </w:pBdr>
        <w:spacing w:line="259" w:lineRule="auto"/>
        <w:jc w:val="both"/>
        <w:rPr>
          <w:rFonts w:ascii="Arial" w:eastAsia="Arial" w:hAnsi="Arial" w:cs="Arial"/>
          <w:b/>
          <w:color w:val="000000"/>
        </w:rPr>
      </w:pPr>
      <w:r>
        <w:rPr>
          <w:rFonts w:ascii="Arial" w:eastAsia="Arial" w:hAnsi="Arial" w:cs="Arial"/>
          <w:b/>
          <w:color w:val="000000"/>
        </w:rPr>
        <w:t>Mitos y Leyendas</w:t>
      </w:r>
    </w:p>
    <w:p w14:paraId="65073663" w14:textId="77777777" w:rsidR="00DF5FE6" w:rsidRDefault="00DF5FE6">
      <w:pPr>
        <w:pBdr>
          <w:top w:val="nil"/>
          <w:left w:val="nil"/>
          <w:bottom w:val="nil"/>
          <w:right w:val="nil"/>
          <w:between w:val="nil"/>
        </w:pBdr>
        <w:ind w:left="720"/>
        <w:jc w:val="both"/>
        <w:rPr>
          <w:rFonts w:ascii="Arial" w:eastAsia="Arial" w:hAnsi="Arial" w:cs="Arial"/>
          <w:b/>
          <w:color w:val="000000"/>
        </w:rPr>
      </w:pPr>
    </w:p>
    <w:p w14:paraId="60BE5B24" w14:textId="77777777" w:rsidR="00DF5FE6" w:rsidRDefault="00F15831">
      <w:pPr>
        <w:spacing w:line="360" w:lineRule="auto"/>
        <w:jc w:val="both"/>
        <w:rPr>
          <w:rFonts w:ascii="Arial" w:eastAsia="Arial" w:hAnsi="Arial" w:cs="Arial"/>
        </w:rPr>
      </w:pPr>
      <w:r>
        <w:rPr>
          <w:rFonts w:ascii="Arial" w:eastAsia="Arial" w:hAnsi="Arial" w:cs="Arial"/>
        </w:rPr>
        <w:t xml:space="preserve">En la tradición oral </w:t>
      </w:r>
      <w:proofErr w:type="spellStart"/>
      <w:r>
        <w:rPr>
          <w:rFonts w:ascii="Arial" w:eastAsia="Arial" w:hAnsi="Arial" w:cs="Arial"/>
        </w:rPr>
        <w:t>Muysca</w:t>
      </w:r>
      <w:proofErr w:type="spellEnd"/>
      <w:r>
        <w:rPr>
          <w:rFonts w:ascii="Arial" w:eastAsia="Arial" w:hAnsi="Arial" w:cs="Arial"/>
        </w:rPr>
        <w:t xml:space="preserve">, el cerro está asociado con varias leyendas que narran los encantos y su conexión de los caminos del agua, en especial por los </w:t>
      </w:r>
      <w:proofErr w:type="spellStart"/>
      <w:r>
        <w:rPr>
          <w:rFonts w:ascii="Arial" w:eastAsia="Arial" w:hAnsi="Arial" w:cs="Arial"/>
        </w:rPr>
        <w:t>mofanes</w:t>
      </w:r>
      <w:proofErr w:type="spellEnd"/>
      <w:r>
        <w:rPr>
          <w:rFonts w:ascii="Arial" w:eastAsia="Arial" w:hAnsi="Arial" w:cs="Arial"/>
        </w:rPr>
        <w:t xml:space="preserve"> que se encuentran allí en lo que conecta el cerro y la laguna, además de los acuíferos subterráneos que conectan con los ríos y humedales. Estas historias forman parte de la rica cosmovisión </w:t>
      </w:r>
      <w:proofErr w:type="spellStart"/>
      <w:r>
        <w:rPr>
          <w:rFonts w:ascii="Arial" w:eastAsia="Arial" w:hAnsi="Arial" w:cs="Arial"/>
        </w:rPr>
        <w:t>Muysca</w:t>
      </w:r>
      <w:proofErr w:type="spellEnd"/>
      <w:r>
        <w:rPr>
          <w:rFonts w:ascii="Arial" w:eastAsia="Arial" w:hAnsi="Arial" w:cs="Arial"/>
        </w:rPr>
        <w:t xml:space="preserve"> que ha sido transmitida de generación en generación y que hoy se reconoce por el Distrito en el Sistema de Sitios Sagrados Muisca.</w:t>
      </w:r>
    </w:p>
    <w:p w14:paraId="01BB527E" w14:textId="77777777" w:rsidR="00DF5FE6" w:rsidRDefault="00DF5FE6">
      <w:pPr>
        <w:jc w:val="both"/>
        <w:rPr>
          <w:rFonts w:ascii="Arial" w:eastAsia="Arial" w:hAnsi="Arial" w:cs="Arial"/>
        </w:rPr>
      </w:pPr>
    </w:p>
    <w:p w14:paraId="0A585A28" w14:textId="77777777" w:rsidR="00DF5FE6" w:rsidRDefault="00F15831">
      <w:pPr>
        <w:jc w:val="center"/>
        <w:rPr>
          <w:rFonts w:ascii="Arial" w:eastAsia="Arial" w:hAnsi="Arial" w:cs="Arial"/>
        </w:rPr>
      </w:pPr>
      <w:r>
        <w:rPr>
          <w:rFonts w:ascii="Arial" w:eastAsia="Arial" w:hAnsi="Arial" w:cs="Arial"/>
          <w:noProof/>
        </w:rPr>
        <w:drawing>
          <wp:inline distT="0" distB="0" distL="0" distR="0" wp14:anchorId="04051F09" wp14:editId="53843F2F">
            <wp:extent cx="2999090" cy="4353606"/>
            <wp:effectExtent l="0" t="0" r="0" b="0"/>
            <wp:docPr id="162221323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rot="16200000">
                      <a:off x="0" y="0"/>
                      <a:ext cx="2999090" cy="4353606"/>
                    </a:xfrm>
                    <a:prstGeom prst="rect">
                      <a:avLst/>
                    </a:prstGeom>
                    <a:ln/>
                  </pic:spPr>
                </pic:pic>
              </a:graphicData>
            </a:graphic>
          </wp:inline>
        </w:drawing>
      </w:r>
    </w:p>
    <w:p w14:paraId="7A8774B7" w14:textId="77777777" w:rsidR="00DF5FE6" w:rsidRDefault="00DF5FE6">
      <w:pPr>
        <w:jc w:val="both"/>
        <w:rPr>
          <w:rFonts w:ascii="Arial" w:eastAsia="Arial" w:hAnsi="Arial" w:cs="Arial"/>
        </w:rPr>
      </w:pPr>
    </w:p>
    <w:p w14:paraId="39958C8E" w14:textId="77777777" w:rsidR="00DF5FE6" w:rsidRDefault="00F15831">
      <w:pPr>
        <w:widowControl/>
        <w:numPr>
          <w:ilvl w:val="0"/>
          <w:numId w:val="4"/>
        </w:numPr>
        <w:pBdr>
          <w:top w:val="nil"/>
          <w:left w:val="nil"/>
          <w:bottom w:val="nil"/>
          <w:right w:val="nil"/>
          <w:between w:val="nil"/>
        </w:pBdr>
        <w:spacing w:line="259" w:lineRule="auto"/>
        <w:jc w:val="both"/>
        <w:rPr>
          <w:rFonts w:ascii="Arial" w:eastAsia="Arial" w:hAnsi="Arial" w:cs="Arial"/>
          <w:b/>
          <w:color w:val="000000"/>
        </w:rPr>
      </w:pPr>
      <w:r>
        <w:rPr>
          <w:rFonts w:ascii="Arial" w:eastAsia="Arial" w:hAnsi="Arial" w:cs="Arial"/>
          <w:b/>
          <w:color w:val="000000"/>
        </w:rPr>
        <w:t>Importancia Ecosistémica y Ambiental</w:t>
      </w:r>
    </w:p>
    <w:p w14:paraId="393DE67F" w14:textId="77777777" w:rsidR="00DF5FE6" w:rsidRDefault="00DF5FE6">
      <w:pPr>
        <w:pBdr>
          <w:top w:val="nil"/>
          <w:left w:val="nil"/>
          <w:bottom w:val="nil"/>
          <w:right w:val="nil"/>
          <w:between w:val="nil"/>
        </w:pBdr>
        <w:ind w:left="610"/>
        <w:jc w:val="both"/>
        <w:rPr>
          <w:rFonts w:ascii="Arial" w:eastAsia="Arial" w:hAnsi="Arial" w:cs="Arial"/>
          <w:b/>
          <w:color w:val="000000"/>
        </w:rPr>
      </w:pPr>
    </w:p>
    <w:p w14:paraId="16C077D9" w14:textId="77777777" w:rsidR="00DF5FE6" w:rsidRDefault="00F15831">
      <w:pPr>
        <w:widowControl/>
        <w:numPr>
          <w:ilvl w:val="1"/>
          <w:numId w:val="4"/>
        </w:numPr>
        <w:pBdr>
          <w:top w:val="nil"/>
          <w:left w:val="nil"/>
          <w:bottom w:val="nil"/>
          <w:right w:val="nil"/>
          <w:between w:val="nil"/>
        </w:pBdr>
        <w:spacing w:line="259" w:lineRule="auto"/>
        <w:jc w:val="both"/>
        <w:rPr>
          <w:rFonts w:ascii="Arial" w:eastAsia="Arial" w:hAnsi="Arial" w:cs="Arial"/>
          <w:b/>
          <w:color w:val="000000"/>
        </w:rPr>
      </w:pPr>
      <w:r>
        <w:rPr>
          <w:rFonts w:ascii="Arial" w:eastAsia="Arial" w:hAnsi="Arial" w:cs="Arial"/>
          <w:b/>
          <w:color w:val="000000"/>
        </w:rPr>
        <w:t>Valor Ecosistémico del Cerro La Conejera</w:t>
      </w:r>
    </w:p>
    <w:p w14:paraId="70C26DE9" w14:textId="77777777" w:rsidR="00DF5FE6" w:rsidRDefault="00DF5FE6">
      <w:pPr>
        <w:pBdr>
          <w:top w:val="nil"/>
          <w:left w:val="nil"/>
          <w:bottom w:val="nil"/>
          <w:right w:val="nil"/>
          <w:between w:val="nil"/>
        </w:pBdr>
        <w:ind w:left="720"/>
        <w:jc w:val="both"/>
        <w:rPr>
          <w:rFonts w:ascii="Arial" w:eastAsia="Arial" w:hAnsi="Arial" w:cs="Arial"/>
          <w:b/>
          <w:color w:val="000000"/>
        </w:rPr>
      </w:pPr>
    </w:p>
    <w:p w14:paraId="6DFF78AE" w14:textId="77777777" w:rsidR="00DF5FE6" w:rsidRDefault="00F15831">
      <w:pPr>
        <w:spacing w:line="360" w:lineRule="auto"/>
        <w:jc w:val="both"/>
        <w:rPr>
          <w:rFonts w:ascii="Arial" w:eastAsia="Arial" w:hAnsi="Arial" w:cs="Arial"/>
        </w:rPr>
      </w:pPr>
      <w:r>
        <w:rPr>
          <w:rFonts w:ascii="Arial" w:eastAsia="Arial" w:hAnsi="Arial" w:cs="Arial"/>
        </w:rPr>
        <w:t>El Cerro La Conejera es un ecosistema clave en la región, proporcionando servicios ambientales esenciales como la regulación hídrica, la conservación de la biodiversidad y la mitigación del cambio climático, allí el sistema sagrado conecta los tres mundos de agua enriqueciendo la espiritualidad del territorio y de la comunidad ancestral.</w:t>
      </w:r>
    </w:p>
    <w:p w14:paraId="7CC5A0EB" w14:textId="77777777" w:rsidR="00DF5FE6" w:rsidRDefault="00DF5FE6">
      <w:pPr>
        <w:spacing w:line="259" w:lineRule="auto"/>
        <w:jc w:val="both"/>
        <w:rPr>
          <w:rFonts w:ascii="Arial" w:eastAsia="Arial" w:hAnsi="Arial" w:cs="Arial"/>
        </w:rPr>
      </w:pPr>
    </w:p>
    <w:p w14:paraId="44BB655C" w14:textId="77777777" w:rsidR="00DF5FE6" w:rsidRDefault="00F15831">
      <w:pPr>
        <w:widowControl/>
        <w:numPr>
          <w:ilvl w:val="2"/>
          <w:numId w:val="4"/>
        </w:numPr>
        <w:pBdr>
          <w:top w:val="nil"/>
          <w:left w:val="nil"/>
          <w:bottom w:val="nil"/>
          <w:right w:val="nil"/>
          <w:between w:val="nil"/>
        </w:pBdr>
        <w:spacing w:line="259" w:lineRule="auto"/>
        <w:jc w:val="both"/>
        <w:rPr>
          <w:rFonts w:ascii="Arial" w:eastAsia="Arial" w:hAnsi="Arial" w:cs="Arial"/>
          <w:b/>
          <w:color w:val="000000"/>
        </w:rPr>
      </w:pPr>
      <w:r>
        <w:rPr>
          <w:rFonts w:ascii="Arial" w:eastAsia="Arial" w:hAnsi="Arial" w:cs="Arial"/>
          <w:b/>
          <w:color w:val="000000"/>
        </w:rPr>
        <w:t>Cuenca Hidrográfica</w:t>
      </w:r>
    </w:p>
    <w:p w14:paraId="642C5C5A" w14:textId="77777777" w:rsidR="00DF5FE6" w:rsidRDefault="00DF5FE6">
      <w:pPr>
        <w:pBdr>
          <w:top w:val="nil"/>
          <w:left w:val="nil"/>
          <w:bottom w:val="nil"/>
          <w:right w:val="nil"/>
          <w:between w:val="nil"/>
        </w:pBdr>
        <w:ind w:left="720"/>
        <w:jc w:val="both"/>
        <w:rPr>
          <w:rFonts w:ascii="Arial" w:eastAsia="Arial" w:hAnsi="Arial" w:cs="Arial"/>
          <w:b/>
          <w:color w:val="000000"/>
        </w:rPr>
      </w:pPr>
    </w:p>
    <w:p w14:paraId="14DFD20C" w14:textId="77777777" w:rsidR="00DF5FE6" w:rsidRDefault="00F15831">
      <w:pPr>
        <w:spacing w:line="360" w:lineRule="auto"/>
        <w:jc w:val="both"/>
        <w:rPr>
          <w:rFonts w:ascii="Arial" w:eastAsia="Arial" w:hAnsi="Arial" w:cs="Arial"/>
        </w:rPr>
      </w:pPr>
      <w:r>
        <w:rPr>
          <w:rFonts w:ascii="Arial" w:eastAsia="Arial" w:hAnsi="Arial" w:cs="Arial"/>
        </w:rPr>
        <w:t>El cerro actúa como una esponja natural, capturando y regulando el agua de lluvia. Este proceso es crucial para mantener el equilibrio hídrico de la región, abasteciendo acuíferos y previniendo inundaciones.</w:t>
      </w:r>
    </w:p>
    <w:p w14:paraId="6989D8AB" w14:textId="77777777" w:rsidR="00DF5FE6" w:rsidRDefault="00DF5FE6">
      <w:pPr>
        <w:spacing w:line="259" w:lineRule="auto"/>
        <w:jc w:val="both"/>
        <w:rPr>
          <w:rFonts w:ascii="Arial" w:eastAsia="Arial" w:hAnsi="Arial" w:cs="Arial"/>
        </w:rPr>
      </w:pPr>
    </w:p>
    <w:p w14:paraId="684A0ECE" w14:textId="77777777" w:rsidR="00DF5FE6" w:rsidRDefault="00F15831">
      <w:pPr>
        <w:widowControl/>
        <w:numPr>
          <w:ilvl w:val="2"/>
          <w:numId w:val="4"/>
        </w:numPr>
        <w:pBdr>
          <w:top w:val="nil"/>
          <w:left w:val="nil"/>
          <w:bottom w:val="nil"/>
          <w:right w:val="nil"/>
          <w:between w:val="nil"/>
        </w:pBdr>
        <w:spacing w:line="259" w:lineRule="auto"/>
        <w:jc w:val="both"/>
        <w:rPr>
          <w:rFonts w:ascii="Arial" w:eastAsia="Arial" w:hAnsi="Arial" w:cs="Arial"/>
          <w:b/>
          <w:color w:val="000000"/>
        </w:rPr>
      </w:pPr>
      <w:r>
        <w:rPr>
          <w:rFonts w:ascii="Arial" w:eastAsia="Arial" w:hAnsi="Arial" w:cs="Arial"/>
          <w:b/>
          <w:color w:val="000000"/>
        </w:rPr>
        <w:t>Biodiversidad</w:t>
      </w:r>
    </w:p>
    <w:p w14:paraId="7C26EA3F" w14:textId="77777777" w:rsidR="00DF5FE6" w:rsidRDefault="00DF5FE6">
      <w:pPr>
        <w:pBdr>
          <w:top w:val="nil"/>
          <w:left w:val="nil"/>
          <w:bottom w:val="nil"/>
          <w:right w:val="nil"/>
          <w:between w:val="nil"/>
        </w:pBdr>
        <w:ind w:left="720"/>
        <w:jc w:val="both"/>
        <w:rPr>
          <w:rFonts w:ascii="Arial" w:eastAsia="Arial" w:hAnsi="Arial" w:cs="Arial"/>
          <w:b/>
          <w:color w:val="000000"/>
        </w:rPr>
      </w:pPr>
    </w:p>
    <w:p w14:paraId="7BF564ED" w14:textId="77777777" w:rsidR="00DF5FE6" w:rsidRDefault="00F15831">
      <w:pPr>
        <w:spacing w:line="360" w:lineRule="auto"/>
        <w:jc w:val="both"/>
        <w:rPr>
          <w:rFonts w:ascii="Arial" w:eastAsia="Arial" w:hAnsi="Arial" w:cs="Arial"/>
        </w:rPr>
      </w:pPr>
      <w:r>
        <w:rPr>
          <w:rFonts w:ascii="Arial" w:eastAsia="Arial" w:hAnsi="Arial" w:cs="Arial"/>
        </w:rPr>
        <w:t>La diversidad de hábitats en el Cerro La Conejera alberga una rica variedad de especies nativas, tanto de fauna como de flora, muchas de las cuales son endémicas o están en peligro de extinción.</w:t>
      </w:r>
    </w:p>
    <w:p w14:paraId="102DC39F" w14:textId="77777777" w:rsidR="00DF5FE6" w:rsidRDefault="00DF5FE6">
      <w:pPr>
        <w:spacing w:line="259" w:lineRule="auto"/>
        <w:jc w:val="both"/>
        <w:rPr>
          <w:rFonts w:ascii="Arial" w:eastAsia="Arial" w:hAnsi="Arial" w:cs="Arial"/>
        </w:rPr>
      </w:pPr>
    </w:p>
    <w:p w14:paraId="46B6776A" w14:textId="77777777" w:rsidR="00DF5FE6" w:rsidRDefault="00F15831">
      <w:pPr>
        <w:spacing w:line="259" w:lineRule="auto"/>
        <w:jc w:val="both"/>
        <w:rPr>
          <w:rFonts w:ascii="Arial" w:eastAsia="Arial" w:hAnsi="Arial" w:cs="Arial"/>
          <w:b/>
        </w:rPr>
      </w:pPr>
      <w:r>
        <w:rPr>
          <w:rFonts w:ascii="Arial" w:eastAsia="Arial" w:hAnsi="Arial" w:cs="Arial"/>
          <w:b/>
        </w:rPr>
        <w:t>2.2. Flora y Fauna Nativa del Cerro de Suba</w:t>
      </w:r>
    </w:p>
    <w:p w14:paraId="610FF060" w14:textId="77777777" w:rsidR="00DF5FE6" w:rsidRDefault="00DF5FE6">
      <w:pPr>
        <w:spacing w:line="259" w:lineRule="auto"/>
        <w:jc w:val="both"/>
        <w:rPr>
          <w:rFonts w:ascii="Arial" w:eastAsia="Arial" w:hAnsi="Arial" w:cs="Arial"/>
          <w:b/>
        </w:rPr>
      </w:pPr>
    </w:p>
    <w:p w14:paraId="3B858F08" w14:textId="77777777" w:rsidR="00DF5FE6" w:rsidRDefault="00F15831">
      <w:pPr>
        <w:spacing w:line="259" w:lineRule="auto"/>
        <w:jc w:val="both"/>
        <w:rPr>
          <w:rFonts w:ascii="Arial" w:eastAsia="Arial" w:hAnsi="Arial" w:cs="Arial"/>
          <w:b/>
        </w:rPr>
      </w:pPr>
      <w:r>
        <w:rPr>
          <w:rFonts w:ascii="Arial" w:eastAsia="Arial" w:hAnsi="Arial" w:cs="Arial"/>
          <w:b/>
        </w:rPr>
        <w:t>2.2.1. Flora</w:t>
      </w:r>
    </w:p>
    <w:p w14:paraId="0DCCFEED" w14:textId="77777777" w:rsidR="00DF5FE6" w:rsidRDefault="00DF5FE6">
      <w:pPr>
        <w:spacing w:line="259" w:lineRule="auto"/>
        <w:jc w:val="both"/>
        <w:rPr>
          <w:rFonts w:ascii="Arial" w:eastAsia="Arial" w:hAnsi="Arial" w:cs="Arial"/>
        </w:rPr>
      </w:pPr>
    </w:p>
    <w:p w14:paraId="0C5C757C" w14:textId="77777777" w:rsidR="00DF5FE6" w:rsidRDefault="00F15831">
      <w:pPr>
        <w:spacing w:line="360" w:lineRule="auto"/>
        <w:jc w:val="both"/>
        <w:rPr>
          <w:rFonts w:ascii="Arial" w:eastAsia="Arial" w:hAnsi="Arial" w:cs="Arial"/>
        </w:rPr>
      </w:pPr>
      <w:r>
        <w:rPr>
          <w:rFonts w:ascii="Arial" w:eastAsia="Arial" w:hAnsi="Arial" w:cs="Arial"/>
        </w:rPr>
        <w:t>El cerro es hogar de una amplia gama de especies vegetales, incluyendo:</w:t>
      </w:r>
    </w:p>
    <w:p w14:paraId="5213D00A" w14:textId="77777777" w:rsidR="00DF5FE6" w:rsidRDefault="00DF5FE6">
      <w:pPr>
        <w:spacing w:line="360" w:lineRule="auto"/>
        <w:jc w:val="both"/>
        <w:rPr>
          <w:rFonts w:ascii="Arial" w:eastAsia="Arial" w:hAnsi="Arial" w:cs="Arial"/>
        </w:rPr>
      </w:pPr>
    </w:p>
    <w:p w14:paraId="5D210019" w14:textId="77777777" w:rsidR="00DF5FE6" w:rsidRDefault="00F15831">
      <w:pPr>
        <w:widowControl/>
        <w:numPr>
          <w:ilvl w:val="0"/>
          <w:numId w:val="1"/>
        </w:numPr>
        <w:spacing w:line="360" w:lineRule="auto"/>
        <w:jc w:val="both"/>
        <w:rPr>
          <w:rFonts w:ascii="Arial" w:eastAsia="Arial" w:hAnsi="Arial" w:cs="Arial"/>
          <w:i/>
        </w:rPr>
      </w:pPr>
      <w:r>
        <w:rPr>
          <w:rFonts w:ascii="Arial" w:eastAsia="Arial" w:hAnsi="Arial" w:cs="Arial"/>
        </w:rPr>
        <w:t xml:space="preserve">Roble andino. </w:t>
      </w:r>
      <w:r>
        <w:rPr>
          <w:rFonts w:ascii="Arial" w:eastAsia="Arial" w:hAnsi="Arial" w:cs="Arial"/>
          <w:i/>
        </w:rPr>
        <w:t xml:space="preserve">Quercus </w:t>
      </w:r>
      <w:proofErr w:type="spellStart"/>
      <w:r>
        <w:rPr>
          <w:rFonts w:ascii="Arial" w:eastAsia="Arial" w:hAnsi="Arial" w:cs="Arial"/>
          <w:i/>
        </w:rPr>
        <w:t>humboldtii</w:t>
      </w:r>
      <w:proofErr w:type="spellEnd"/>
      <w:r>
        <w:rPr>
          <w:rFonts w:ascii="Arial" w:eastAsia="Arial" w:hAnsi="Arial" w:cs="Arial"/>
          <w:i/>
        </w:rPr>
        <w:t xml:space="preserve"> </w:t>
      </w:r>
    </w:p>
    <w:p w14:paraId="560DB192" w14:textId="77777777" w:rsidR="00DF5FE6" w:rsidRDefault="00F15831">
      <w:pPr>
        <w:widowControl/>
        <w:numPr>
          <w:ilvl w:val="0"/>
          <w:numId w:val="1"/>
        </w:numPr>
        <w:spacing w:line="360" w:lineRule="auto"/>
        <w:jc w:val="both"/>
        <w:rPr>
          <w:rFonts w:ascii="Arial" w:eastAsia="Arial" w:hAnsi="Arial" w:cs="Arial"/>
          <w:i/>
        </w:rPr>
      </w:pPr>
      <w:r>
        <w:rPr>
          <w:rFonts w:ascii="Arial" w:eastAsia="Arial" w:hAnsi="Arial" w:cs="Arial"/>
        </w:rPr>
        <w:t xml:space="preserve">Chilco. </w:t>
      </w:r>
      <w:proofErr w:type="spellStart"/>
      <w:r>
        <w:rPr>
          <w:rFonts w:ascii="Arial" w:eastAsia="Arial" w:hAnsi="Arial" w:cs="Arial"/>
          <w:i/>
        </w:rPr>
        <w:t>Baccharis</w:t>
      </w:r>
      <w:proofErr w:type="spellEnd"/>
      <w:r>
        <w:rPr>
          <w:rFonts w:ascii="Arial" w:eastAsia="Arial" w:hAnsi="Arial" w:cs="Arial"/>
          <w:i/>
        </w:rPr>
        <w:t xml:space="preserve"> </w:t>
      </w:r>
      <w:proofErr w:type="spellStart"/>
      <w:r>
        <w:rPr>
          <w:rFonts w:ascii="Arial" w:eastAsia="Arial" w:hAnsi="Arial" w:cs="Arial"/>
          <w:i/>
        </w:rPr>
        <w:t>bogotensis</w:t>
      </w:r>
      <w:proofErr w:type="spellEnd"/>
      <w:r>
        <w:rPr>
          <w:rFonts w:ascii="Arial" w:eastAsia="Arial" w:hAnsi="Arial" w:cs="Arial"/>
          <w:i/>
        </w:rPr>
        <w:t xml:space="preserve"> </w:t>
      </w:r>
    </w:p>
    <w:p w14:paraId="66621CDB"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 Encenillo. </w:t>
      </w:r>
      <w:proofErr w:type="spellStart"/>
      <w:r>
        <w:rPr>
          <w:rFonts w:ascii="Arial" w:eastAsia="Arial" w:hAnsi="Arial" w:cs="Arial"/>
          <w:i/>
        </w:rPr>
        <w:t>Weinmannia</w:t>
      </w:r>
      <w:proofErr w:type="spellEnd"/>
      <w:r>
        <w:rPr>
          <w:rFonts w:ascii="Arial" w:eastAsia="Arial" w:hAnsi="Arial" w:cs="Arial"/>
          <w:i/>
        </w:rPr>
        <w:t xml:space="preserve"> tomentosa</w:t>
      </w:r>
    </w:p>
    <w:p w14:paraId="5CF9F033"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Arrayan. </w:t>
      </w:r>
      <w:proofErr w:type="spellStart"/>
      <w:r>
        <w:rPr>
          <w:rFonts w:ascii="Arial" w:eastAsia="Arial" w:hAnsi="Arial" w:cs="Arial"/>
          <w:i/>
        </w:rPr>
        <w:t>Myrcianthes</w:t>
      </w:r>
      <w:proofErr w:type="spellEnd"/>
      <w:r>
        <w:rPr>
          <w:rFonts w:ascii="Arial" w:eastAsia="Arial" w:hAnsi="Arial" w:cs="Arial"/>
          <w:i/>
        </w:rPr>
        <w:t xml:space="preserve"> </w:t>
      </w:r>
      <w:proofErr w:type="spellStart"/>
      <w:r>
        <w:rPr>
          <w:rFonts w:ascii="Arial" w:eastAsia="Arial" w:hAnsi="Arial" w:cs="Arial"/>
          <w:i/>
        </w:rPr>
        <w:t>leucoxyla</w:t>
      </w:r>
      <w:proofErr w:type="spellEnd"/>
      <w:r>
        <w:rPr>
          <w:rFonts w:ascii="Arial" w:eastAsia="Arial" w:hAnsi="Arial" w:cs="Arial"/>
        </w:rPr>
        <w:t>,</w:t>
      </w:r>
    </w:p>
    <w:p w14:paraId="7B80AAEB"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Corono. </w:t>
      </w:r>
      <w:proofErr w:type="spellStart"/>
      <w:r>
        <w:rPr>
          <w:rFonts w:ascii="Arial" w:eastAsia="Arial" w:hAnsi="Arial" w:cs="Arial"/>
          <w:i/>
        </w:rPr>
        <w:t>Xylosma</w:t>
      </w:r>
      <w:proofErr w:type="spellEnd"/>
      <w:r>
        <w:rPr>
          <w:rFonts w:ascii="Arial" w:eastAsia="Arial" w:hAnsi="Arial" w:cs="Arial"/>
          <w:i/>
        </w:rPr>
        <w:t xml:space="preserve"> </w:t>
      </w:r>
      <w:proofErr w:type="spellStart"/>
      <w:r>
        <w:rPr>
          <w:rFonts w:ascii="Arial" w:eastAsia="Arial" w:hAnsi="Arial" w:cs="Arial"/>
          <w:i/>
        </w:rPr>
        <w:t>spiculiferum</w:t>
      </w:r>
      <w:proofErr w:type="spellEnd"/>
      <w:r>
        <w:rPr>
          <w:rFonts w:ascii="Arial" w:eastAsia="Arial" w:hAnsi="Arial" w:cs="Arial"/>
        </w:rPr>
        <w:t>,</w:t>
      </w:r>
    </w:p>
    <w:p w14:paraId="1229E3C6"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Espino. </w:t>
      </w:r>
      <w:proofErr w:type="spellStart"/>
      <w:r>
        <w:rPr>
          <w:rFonts w:ascii="Arial" w:eastAsia="Arial" w:hAnsi="Arial" w:cs="Arial"/>
          <w:i/>
        </w:rPr>
        <w:t>Durants</w:t>
      </w:r>
      <w:proofErr w:type="spellEnd"/>
      <w:r>
        <w:rPr>
          <w:rFonts w:ascii="Arial" w:eastAsia="Arial" w:hAnsi="Arial" w:cs="Arial"/>
          <w:i/>
        </w:rPr>
        <w:t xml:space="preserve"> </w:t>
      </w:r>
      <w:proofErr w:type="spellStart"/>
      <w:r>
        <w:rPr>
          <w:rFonts w:ascii="Arial" w:eastAsia="Arial" w:hAnsi="Arial" w:cs="Arial"/>
          <w:i/>
        </w:rPr>
        <w:t>mutissi</w:t>
      </w:r>
      <w:proofErr w:type="spellEnd"/>
    </w:p>
    <w:p w14:paraId="6C13D3B5"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Raque. </w:t>
      </w:r>
      <w:proofErr w:type="spellStart"/>
      <w:r>
        <w:rPr>
          <w:rFonts w:ascii="Arial" w:eastAsia="Arial" w:hAnsi="Arial" w:cs="Arial"/>
          <w:i/>
        </w:rPr>
        <w:t>Vallea</w:t>
      </w:r>
      <w:proofErr w:type="spellEnd"/>
      <w:r>
        <w:rPr>
          <w:rFonts w:ascii="Arial" w:eastAsia="Arial" w:hAnsi="Arial" w:cs="Arial"/>
          <w:i/>
        </w:rPr>
        <w:t xml:space="preserve"> </w:t>
      </w:r>
      <w:proofErr w:type="spellStart"/>
      <w:r>
        <w:rPr>
          <w:rFonts w:ascii="Arial" w:eastAsia="Arial" w:hAnsi="Arial" w:cs="Arial"/>
          <w:i/>
        </w:rPr>
        <w:t>stipularis</w:t>
      </w:r>
      <w:proofErr w:type="spellEnd"/>
      <w:r>
        <w:rPr>
          <w:rFonts w:ascii="Arial" w:eastAsia="Arial" w:hAnsi="Arial" w:cs="Arial"/>
          <w:i/>
        </w:rPr>
        <w:t>,</w:t>
      </w:r>
    </w:p>
    <w:p w14:paraId="4FADAA1C"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Cineraria espinosa</w:t>
      </w:r>
      <w:r>
        <w:rPr>
          <w:rFonts w:ascii="Arial" w:eastAsia="Arial" w:hAnsi="Arial" w:cs="Arial"/>
          <w:i/>
        </w:rPr>
        <w:t xml:space="preserve">. </w:t>
      </w:r>
      <w:proofErr w:type="spellStart"/>
      <w:r>
        <w:rPr>
          <w:rFonts w:ascii="Arial" w:eastAsia="Arial" w:hAnsi="Arial" w:cs="Arial"/>
          <w:i/>
        </w:rPr>
        <w:t>Barbanadesidia</w:t>
      </w:r>
      <w:proofErr w:type="spellEnd"/>
      <w:r>
        <w:rPr>
          <w:rFonts w:ascii="Arial" w:eastAsia="Arial" w:hAnsi="Arial" w:cs="Arial"/>
          <w:i/>
        </w:rPr>
        <w:t xml:space="preserve"> </w:t>
      </w:r>
      <w:proofErr w:type="spellStart"/>
      <w:r>
        <w:rPr>
          <w:rFonts w:ascii="Arial" w:eastAsia="Arial" w:hAnsi="Arial" w:cs="Arial"/>
          <w:i/>
        </w:rPr>
        <w:t>spinosa</w:t>
      </w:r>
      <w:proofErr w:type="spellEnd"/>
      <w:r>
        <w:rPr>
          <w:rFonts w:ascii="Arial" w:eastAsia="Arial" w:hAnsi="Arial" w:cs="Arial"/>
        </w:rPr>
        <w:t>.</w:t>
      </w:r>
    </w:p>
    <w:p w14:paraId="5463C89D"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Helecho. </w:t>
      </w:r>
      <w:proofErr w:type="spellStart"/>
      <w:r>
        <w:rPr>
          <w:rFonts w:ascii="Arial" w:eastAsia="Arial" w:hAnsi="Arial" w:cs="Arial"/>
          <w:i/>
        </w:rPr>
        <w:t>Blechnum</w:t>
      </w:r>
      <w:proofErr w:type="spellEnd"/>
      <w:r>
        <w:rPr>
          <w:rFonts w:ascii="Arial" w:eastAsia="Arial" w:hAnsi="Arial" w:cs="Arial"/>
          <w:i/>
        </w:rPr>
        <w:t xml:space="preserve"> </w:t>
      </w:r>
      <w:proofErr w:type="spellStart"/>
      <w:r>
        <w:rPr>
          <w:rFonts w:ascii="Arial" w:eastAsia="Arial" w:hAnsi="Arial" w:cs="Arial"/>
          <w:i/>
        </w:rPr>
        <w:t>occidentale</w:t>
      </w:r>
      <w:proofErr w:type="spellEnd"/>
      <w:r>
        <w:rPr>
          <w:rFonts w:ascii="Arial" w:eastAsia="Arial" w:hAnsi="Arial" w:cs="Arial"/>
        </w:rPr>
        <w:t>.</w:t>
      </w:r>
    </w:p>
    <w:p w14:paraId="13142414"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Gomo </w:t>
      </w:r>
      <w:proofErr w:type="spellStart"/>
      <w:r>
        <w:rPr>
          <w:rFonts w:ascii="Arial" w:eastAsia="Arial" w:hAnsi="Arial" w:cs="Arial"/>
          <w:i/>
        </w:rPr>
        <w:t>Cordia</w:t>
      </w:r>
      <w:proofErr w:type="spellEnd"/>
      <w:r>
        <w:rPr>
          <w:rFonts w:ascii="Arial" w:eastAsia="Arial" w:hAnsi="Arial" w:cs="Arial"/>
        </w:rPr>
        <w:t xml:space="preserve"> </w:t>
      </w:r>
      <w:proofErr w:type="spellStart"/>
      <w:r>
        <w:rPr>
          <w:rFonts w:ascii="Arial" w:eastAsia="Arial" w:hAnsi="Arial" w:cs="Arial"/>
        </w:rPr>
        <w:t>sp</w:t>
      </w:r>
      <w:proofErr w:type="spellEnd"/>
      <w:r>
        <w:rPr>
          <w:rFonts w:ascii="Arial" w:eastAsia="Arial" w:hAnsi="Arial" w:cs="Arial"/>
        </w:rPr>
        <w:t>.,</w:t>
      </w:r>
    </w:p>
    <w:p w14:paraId="06B8BC1B"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Cordoncillo. </w:t>
      </w:r>
      <w:r>
        <w:rPr>
          <w:rFonts w:ascii="Arial" w:eastAsia="Arial" w:hAnsi="Arial" w:cs="Arial"/>
          <w:i/>
        </w:rPr>
        <w:t xml:space="preserve">Piper </w:t>
      </w:r>
      <w:proofErr w:type="spellStart"/>
      <w:r>
        <w:rPr>
          <w:rFonts w:ascii="Arial" w:eastAsia="Arial" w:hAnsi="Arial" w:cs="Arial"/>
          <w:i/>
        </w:rPr>
        <w:t>bogotense</w:t>
      </w:r>
      <w:proofErr w:type="spellEnd"/>
      <w:r>
        <w:rPr>
          <w:rFonts w:ascii="Arial" w:eastAsia="Arial" w:hAnsi="Arial" w:cs="Arial"/>
        </w:rPr>
        <w:t>,</w:t>
      </w:r>
    </w:p>
    <w:p w14:paraId="78150B0E"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Cucharo. </w:t>
      </w:r>
      <w:proofErr w:type="spellStart"/>
      <w:r>
        <w:rPr>
          <w:rFonts w:ascii="Arial" w:eastAsia="Arial" w:hAnsi="Arial" w:cs="Arial"/>
          <w:i/>
        </w:rPr>
        <w:t>Myrsine</w:t>
      </w:r>
      <w:proofErr w:type="spellEnd"/>
      <w:r>
        <w:rPr>
          <w:rFonts w:ascii="Arial" w:eastAsia="Arial" w:hAnsi="Arial" w:cs="Arial"/>
          <w:i/>
        </w:rPr>
        <w:t xml:space="preserve"> </w:t>
      </w:r>
      <w:proofErr w:type="spellStart"/>
      <w:r>
        <w:rPr>
          <w:rFonts w:ascii="Arial" w:eastAsia="Arial" w:hAnsi="Arial" w:cs="Arial"/>
          <w:i/>
        </w:rPr>
        <w:t>guianensis</w:t>
      </w:r>
      <w:proofErr w:type="spellEnd"/>
      <w:r>
        <w:rPr>
          <w:rFonts w:ascii="Arial" w:eastAsia="Arial" w:hAnsi="Arial" w:cs="Arial"/>
        </w:rPr>
        <w:t>,</w:t>
      </w:r>
    </w:p>
    <w:p w14:paraId="5A562194"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Llorones </w:t>
      </w:r>
      <w:proofErr w:type="spellStart"/>
      <w:r>
        <w:rPr>
          <w:rFonts w:ascii="Arial" w:eastAsia="Arial" w:hAnsi="Arial" w:cs="Arial"/>
          <w:i/>
        </w:rPr>
        <w:t>Solanum</w:t>
      </w:r>
      <w:proofErr w:type="spellEnd"/>
      <w:r>
        <w:rPr>
          <w:rFonts w:ascii="Arial" w:eastAsia="Arial" w:hAnsi="Arial" w:cs="Arial"/>
          <w:i/>
        </w:rPr>
        <w:t xml:space="preserve"> </w:t>
      </w:r>
      <w:proofErr w:type="spellStart"/>
      <w:r>
        <w:rPr>
          <w:rFonts w:ascii="Arial" w:eastAsia="Arial" w:hAnsi="Arial" w:cs="Arial"/>
          <w:i/>
        </w:rPr>
        <w:t>caripense</w:t>
      </w:r>
      <w:proofErr w:type="spellEnd"/>
      <w:r>
        <w:rPr>
          <w:rFonts w:ascii="Arial" w:eastAsia="Arial" w:hAnsi="Arial" w:cs="Arial"/>
        </w:rPr>
        <w:t>,</w:t>
      </w:r>
    </w:p>
    <w:p w14:paraId="35531098"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Cedrillo </w:t>
      </w:r>
      <w:proofErr w:type="spellStart"/>
      <w:r>
        <w:rPr>
          <w:rFonts w:ascii="Arial" w:eastAsia="Arial" w:hAnsi="Arial" w:cs="Arial"/>
          <w:i/>
        </w:rPr>
        <w:t>Phyllanthus</w:t>
      </w:r>
      <w:proofErr w:type="spellEnd"/>
      <w:r>
        <w:rPr>
          <w:rFonts w:ascii="Arial" w:eastAsia="Arial" w:hAnsi="Arial" w:cs="Arial"/>
          <w:i/>
        </w:rPr>
        <w:t xml:space="preserve"> </w:t>
      </w:r>
      <w:proofErr w:type="spellStart"/>
      <w:r>
        <w:rPr>
          <w:rFonts w:ascii="Arial" w:eastAsia="Arial" w:hAnsi="Arial" w:cs="Arial"/>
          <w:i/>
        </w:rPr>
        <w:t>salvaefolius</w:t>
      </w:r>
      <w:proofErr w:type="spellEnd"/>
      <w:r>
        <w:rPr>
          <w:rFonts w:ascii="Arial" w:eastAsia="Arial" w:hAnsi="Arial" w:cs="Arial"/>
        </w:rPr>
        <w:t>,</w:t>
      </w:r>
    </w:p>
    <w:p w14:paraId="4EB06B4A"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Uvilla o tintillo </w:t>
      </w:r>
      <w:proofErr w:type="spellStart"/>
      <w:r>
        <w:rPr>
          <w:rFonts w:ascii="Arial" w:eastAsia="Arial" w:hAnsi="Arial" w:cs="Arial"/>
          <w:i/>
        </w:rPr>
        <w:t>Cestrum</w:t>
      </w:r>
      <w:proofErr w:type="spellEnd"/>
      <w:r>
        <w:rPr>
          <w:rFonts w:ascii="Arial" w:eastAsia="Arial" w:hAnsi="Arial" w:cs="Arial"/>
        </w:rPr>
        <w:t xml:space="preserve">, Tuno </w:t>
      </w:r>
      <w:proofErr w:type="spellStart"/>
      <w:r>
        <w:rPr>
          <w:rFonts w:ascii="Arial" w:eastAsia="Arial" w:hAnsi="Arial" w:cs="Arial"/>
          <w:i/>
        </w:rPr>
        <w:t>Miconia</w:t>
      </w:r>
      <w:proofErr w:type="spellEnd"/>
      <w:r>
        <w:rPr>
          <w:rFonts w:ascii="Arial" w:eastAsia="Arial" w:hAnsi="Arial" w:cs="Arial"/>
        </w:rPr>
        <w:t xml:space="preserve"> </w:t>
      </w:r>
      <w:proofErr w:type="spellStart"/>
      <w:r>
        <w:rPr>
          <w:rFonts w:ascii="Arial" w:eastAsia="Arial" w:hAnsi="Arial" w:cs="Arial"/>
        </w:rPr>
        <w:t>spp</w:t>
      </w:r>
      <w:proofErr w:type="spellEnd"/>
      <w:r>
        <w:rPr>
          <w:rFonts w:ascii="Arial" w:eastAsia="Arial" w:hAnsi="Arial" w:cs="Arial"/>
        </w:rPr>
        <w:t>.,</w:t>
      </w:r>
    </w:p>
    <w:p w14:paraId="6110C814" w14:textId="77777777" w:rsidR="00DF5FE6" w:rsidRDefault="00F15831">
      <w:pPr>
        <w:widowControl/>
        <w:numPr>
          <w:ilvl w:val="0"/>
          <w:numId w:val="1"/>
        </w:numPr>
        <w:spacing w:line="360" w:lineRule="auto"/>
        <w:jc w:val="both"/>
        <w:rPr>
          <w:rFonts w:ascii="Arial" w:eastAsia="Arial" w:hAnsi="Arial" w:cs="Arial"/>
        </w:rPr>
      </w:pPr>
      <w:r>
        <w:rPr>
          <w:rFonts w:ascii="Arial" w:eastAsia="Arial" w:hAnsi="Arial" w:cs="Arial"/>
        </w:rPr>
        <w:t xml:space="preserve">Mano de oso </w:t>
      </w:r>
      <w:proofErr w:type="spellStart"/>
      <w:r>
        <w:rPr>
          <w:rFonts w:ascii="Arial" w:eastAsia="Arial" w:hAnsi="Arial" w:cs="Arial"/>
          <w:i/>
        </w:rPr>
        <w:t>Orepanax</w:t>
      </w:r>
      <w:proofErr w:type="spellEnd"/>
      <w:r>
        <w:rPr>
          <w:rFonts w:ascii="Arial" w:eastAsia="Arial" w:hAnsi="Arial" w:cs="Arial"/>
        </w:rPr>
        <w:t>,</w:t>
      </w:r>
    </w:p>
    <w:p w14:paraId="5BD88B12" w14:textId="77777777" w:rsidR="00DF5FE6" w:rsidRDefault="00F15831">
      <w:pPr>
        <w:widowControl/>
        <w:numPr>
          <w:ilvl w:val="0"/>
          <w:numId w:val="1"/>
        </w:numPr>
        <w:spacing w:line="276" w:lineRule="auto"/>
        <w:jc w:val="both"/>
        <w:rPr>
          <w:rFonts w:ascii="Arial" w:eastAsia="Arial" w:hAnsi="Arial" w:cs="Arial"/>
        </w:rPr>
      </w:pPr>
      <w:r>
        <w:rPr>
          <w:rFonts w:ascii="Arial" w:eastAsia="Arial" w:hAnsi="Arial" w:cs="Arial"/>
        </w:rPr>
        <w:t xml:space="preserve">Mortiño </w:t>
      </w:r>
      <w:proofErr w:type="spellStart"/>
      <w:r>
        <w:rPr>
          <w:rFonts w:ascii="Arial" w:eastAsia="Arial" w:hAnsi="Arial" w:cs="Arial"/>
          <w:i/>
        </w:rPr>
        <w:t>Hesperomeles</w:t>
      </w:r>
      <w:proofErr w:type="spellEnd"/>
      <w:r>
        <w:rPr>
          <w:rFonts w:ascii="Arial" w:eastAsia="Arial" w:hAnsi="Arial" w:cs="Arial"/>
        </w:rPr>
        <w:t>.</w:t>
      </w:r>
    </w:p>
    <w:p w14:paraId="1D5C0948" w14:textId="77777777" w:rsidR="00DF5FE6" w:rsidRDefault="00DF5FE6">
      <w:pPr>
        <w:spacing w:line="259" w:lineRule="auto"/>
        <w:ind w:left="720"/>
        <w:jc w:val="both"/>
        <w:rPr>
          <w:rFonts w:ascii="Arial" w:eastAsia="Arial" w:hAnsi="Arial" w:cs="Arial"/>
        </w:rPr>
      </w:pPr>
    </w:p>
    <w:p w14:paraId="6EDCDD87" w14:textId="77777777" w:rsidR="00DF5FE6" w:rsidRDefault="00F15831">
      <w:pPr>
        <w:spacing w:line="360" w:lineRule="auto"/>
        <w:jc w:val="both"/>
        <w:rPr>
          <w:rFonts w:ascii="Arial" w:eastAsia="Arial" w:hAnsi="Arial" w:cs="Arial"/>
        </w:rPr>
      </w:pPr>
      <w:r>
        <w:rPr>
          <w:rFonts w:ascii="Arial" w:eastAsia="Arial" w:hAnsi="Arial" w:cs="Arial"/>
        </w:rPr>
        <w:t>Estas especies son vitales para la estructura y funcionamiento del ecosistema, ofreciendo hábitat y alimento a numerosas especies animales.</w:t>
      </w:r>
    </w:p>
    <w:p w14:paraId="2A2B8419" w14:textId="77777777" w:rsidR="00DF5FE6" w:rsidRDefault="00DF5FE6">
      <w:pPr>
        <w:spacing w:line="259" w:lineRule="auto"/>
        <w:jc w:val="both"/>
        <w:rPr>
          <w:rFonts w:ascii="Arial" w:eastAsia="Arial" w:hAnsi="Arial" w:cs="Arial"/>
        </w:rPr>
      </w:pPr>
    </w:p>
    <w:p w14:paraId="627776E4" w14:textId="77777777" w:rsidR="00DF5FE6" w:rsidRDefault="00F15831">
      <w:pPr>
        <w:spacing w:line="259" w:lineRule="auto"/>
        <w:jc w:val="both"/>
        <w:rPr>
          <w:rFonts w:ascii="Arial" w:eastAsia="Arial" w:hAnsi="Arial" w:cs="Arial"/>
          <w:b/>
        </w:rPr>
      </w:pPr>
      <w:r>
        <w:rPr>
          <w:rFonts w:ascii="Arial" w:eastAsia="Arial" w:hAnsi="Arial" w:cs="Arial"/>
          <w:b/>
        </w:rPr>
        <w:t>2.2.2. Fauna</w:t>
      </w:r>
    </w:p>
    <w:p w14:paraId="1C18F16E" w14:textId="77777777" w:rsidR="00DF5FE6" w:rsidRDefault="00DF5FE6">
      <w:pPr>
        <w:spacing w:line="259" w:lineRule="auto"/>
        <w:jc w:val="both"/>
        <w:rPr>
          <w:rFonts w:ascii="Arial" w:eastAsia="Arial" w:hAnsi="Arial" w:cs="Arial"/>
        </w:rPr>
      </w:pPr>
    </w:p>
    <w:p w14:paraId="03F2D252" w14:textId="77777777" w:rsidR="00DF5FE6" w:rsidRDefault="00F15831">
      <w:pPr>
        <w:spacing w:line="360" w:lineRule="auto"/>
        <w:jc w:val="both"/>
        <w:rPr>
          <w:rFonts w:ascii="Arial" w:eastAsia="Arial" w:hAnsi="Arial" w:cs="Arial"/>
        </w:rPr>
      </w:pPr>
      <w:r>
        <w:rPr>
          <w:rFonts w:ascii="Arial" w:eastAsia="Arial" w:hAnsi="Arial" w:cs="Arial"/>
        </w:rPr>
        <w:t xml:space="preserve">La fauna del Cerro de Suba incluye una variedad de mamíferos, aves, reptiles e insectos.  El hábitat que oferta este bosque para la fauna, según reportes de observación, consiste de especies como armadillo, algunos reptiles y ardillas bogotanas, dado que el bosque </w:t>
      </w:r>
      <w:r>
        <w:rPr>
          <w:rFonts w:ascii="Arial" w:eastAsia="Arial" w:hAnsi="Arial" w:cs="Arial"/>
        </w:rPr>
        <w:lastRenderedPageBreak/>
        <w:t>secundario se encuentra aislado de transeúntes y corresponde a tenencia por propiedad privada. Así mismo podemos encontrar especies como:</w:t>
      </w:r>
    </w:p>
    <w:p w14:paraId="157B4099" w14:textId="77777777" w:rsidR="00DF5FE6" w:rsidRDefault="00DF5FE6">
      <w:pPr>
        <w:spacing w:line="259" w:lineRule="auto"/>
        <w:jc w:val="both"/>
        <w:rPr>
          <w:rFonts w:ascii="Arial" w:eastAsia="Arial" w:hAnsi="Arial" w:cs="Arial"/>
        </w:rPr>
      </w:pPr>
    </w:p>
    <w:p w14:paraId="3469F8E3" w14:textId="77777777" w:rsidR="00DF5FE6" w:rsidRDefault="00F15831">
      <w:pPr>
        <w:widowControl/>
        <w:numPr>
          <w:ilvl w:val="0"/>
          <w:numId w:val="2"/>
        </w:numPr>
        <w:spacing w:line="360" w:lineRule="auto"/>
        <w:jc w:val="both"/>
        <w:rPr>
          <w:rFonts w:ascii="Arial" w:eastAsia="Arial" w:hAnsi="Arial" w:cs="Arial"/>
        </w:rPr>
      </w:pPr>
      <w:proofErr w:type="spellStart"/>
      <w:r>
        <w:rPr>
          <w:rFonts w:ascii="Arial" w:eastAsia="Arial" w:hAnsi="Arial" w:cs="Arial"/>
          <w:i/>
        </w:rPr>
        <w:t>Marmosops</w:t>
      </w:r>
      <w:proofErr w:type="spellEnd"/>
      <w:r>
        <w:rPr>
          <w:rFonts w:ascii="Arial" w:eastAsia="Arial" w:hAnsi="Arial" w:cs="Arial"/>
          <w:i/>
        </w:rPr>
        <w:t xml:space="preserve"> </w:t>
      </w:r>
      <w:proofErr w:type="spellStart"/>
      <w:r>
        <w:rPr>
          <w:rFonts w:ascii="Arial" w:eastAsia="Arial" w:hAnsi="Arial" w:cs="Arial"/>
          <w:i/>
        </w:rPr>
        <w:t>caucae</w:t>
      </w:r>
      <w:proofErr w:type="spellEnd"/>
      <w:r>
        <w:rPr>
          <w:rFonts w:ascii="Arial" w:eastAsia="Arial" w:hAnsi="Arial" w:cs="Arial"/>
        </w:rPr>
        <w:t xml:space="preserve"> (zarigüeya del Cauca)</w:t>
      </w:r>
    </w:p>
    <w:p w14:paraId="607DE4FE" w14:textId="77777777" w:rsidR="00DF5FE6" w:rsidRDefault="00F15831">
      <w:pPr>
        <w:widowControl/>
        <w:numPr>
          <w:ilvl w:val="0"/>
          <w:numId w:val="2"/>
        </w:numPr>
        <w:spacing w:line="360" w:lineRule="auto"/>
        <w:jc w:val="both"/>
        <w:rPr>
          <w:rFonts w:ascii="Arial" w:eastAsia="Arial" w:hAnsi="Arial" w:cs="Arial"/>
        </w:rPr>
      </w:pPr>
      <w:proofErr w:type="spellStart"/>
      <w:r>
        <w:rPr>
          <w:rFonts w:ascii="Arial" w:eastAsia="Arial" w:hAnsi="Arial" w:cs="Arial"/>
          <w:i/>
        </w:rPr>
        <w:t>Sturnira</w:t>
      </w:r>
      <w:proofErr w:type="spellEnd"/>
      <w:r>
        <w:rPr>
          <w:rFonts w:ascii="Arial" w:eastAsia="Arial" w:hAnsi="Arial" w:cs="Arial"/>
          <w:i/>
        </w:rPr>
        <w:t xml:space="preserve"> </w:t>
      </w:r>
      <w:proofErr w:type="spellStart"/>
      <w:r>
        <w:rPr>
          <w:rFonts w:ascii="Arial" w:eastAsia="Arial" w:hAnsi="Arial" w:cs="Arial"/>
          <w:i/>
        </w:rPr>
        <w:t>lilium</w:t>
      </w:r>
      <w:proofErr w:type="spellEnd"/>
      <w:r>
        <w:rPr>
          <w:rFonts w:ascii="Arial" w:eastAsia="Arial" w:hAnsi="Arial" w:cs="Arial"/>
        </w:rPr>
        <w:t xml:space="preserve"> (murciélago frugívoro)</w:t>
      </w:r>
    </w:p>
    <w:p w14:paraId="58C6DDE2" w14:textId="77777777" w:rsidR="00DF5FE6" w:rsidRDefault="00F15831">
      <w:pPr>
        <w:widowControl/>
        <w:numPr>
          <w:ilvl w:val="0"/>
          <w:numId w:val="2"/>
        </w:numPr>
        <w:spacing w:line="360" w:lineRule="auto"/>
        <w:jc w:val="both"/>
        <w:rPr>
          <w:rFonts w:ascii="Arial" w:eastAsia="Arial" w:hAnsi="Arial" w:cs="Arial"/>
        </w:rPr>
      </w:pPr>
      <w:proofErr w:type="spellStart"/>
      <w:r>
        <w:rPr>
          <w:rFonts w:ascii="Arial" w:eastAsia="Arial" w:hAnsi="Arial" w:cs="Arial"/>
          <w:i/>
        </w:rPr>
        <w:t>Eriocnemis</w:t>
      </w:r>
      <w:proofErr w:type="spellEnd"/>
      <w:r>
        <w:rPr>
          <w:rFonts w:ascii="Arial" w:eastAsia="Arial" w:hAnsi="Arial" w:cs="Arial"/>
          <w:i/>
        </w:rPr>
        <w:t xml:space="preserve"> </w:t>
      </w:r>
      <w:proofErr w:type="spellStart"/>
      <w:r>
        <w:rPr>
          <w:rFonts w:ascii="Arial" w:eastAsia="Arial" w:hAnsi="Arial" w:cs="Arial"/>
          <w:i/>
        </w:rPr>
        <w:t>cupreoventris</w:t>
      </w:r>
      <w:proofErr w:type="spellEnd"/>
      <w:r>
        <w:rPr>
          <w:rFonts w:ascii="Arial" w:eastAsia="Arial" w:hAnsi="Arial" w:cs="Arial"/>
        </w:rPr>
        <w:t xml:space="preserve"> (colibrí </w:t>
      </w:r>
      <w:proofErr w:type="spellStart"/>
      <w:r>
        <w:rPr>
          <w:rFonts w:ascii="Arial" w:eastAsia="Arial" w:hAnsi="Arial" w:cs="Arial"/>
        </w:rPr>
        <w:t>ventrirrufa</w:t>
      </w:r>
      <w:proofErr w:type="spellEnd"/>
      <w:r>
        <w:rPr>
          <w:rFonts w:ascii="Arial" w:eastAsia="Arial" w:hAnsi="Arial" w:cs="Arial"/>
        </w:rPr>
        <w:t>)</w:t>
      </w:r>
    </w:p>
    <w:p w14:paraId="603AF95F" w14:textId="77777777" w:rsidR="00DF5FE6" w:rsidRDefault="00DF5FE6">
      <w:pPr>
        <w:widowControl/>
        <w:spacing w:line="360" w:lineRule="auto"/>
        <w:ind w:left="720"/>
        <w:jc w:val="both"/>
        <w:rPr>
          <w:rFonts w:ascii="Arial" w:eastAsia="Arial" w:hAnsi="Arial" w:cs="Arial"/>
        </w:rPr>
      </w:pPr>
    </w:p>
    <w:p w14:paraId="517D9C49" w14:textId="77777777" w:rsidR="00DF5FE6" w:rsidRDefault="00F15831">
      <w:pPr>
        <w:spacing w:line="360" w:lineRule="auto"/>
        <w:jc w:val="both"/>
        <w:rPr>
          <w:rFonts w:ascii="Arial" w:eastAsia="Arial" w:hAnsi="Arial" w:cs="Arial"/>
        </w:rPr>
      </w:pPr>
      <w:r>
        <w:rPr>
          <w:rFonts w:ascii="Arial" w:eastAsia="Arial" w:hAnsi="Arial" w:cs="Arial"/>
        </w:rPr>
        <w:t>Estas especies desempeñan roles cruciales en la polinización, dispersión de semillas y control de plagas, contribuyendo al equilibrio ecológico del área.</w:t>
      </w:r>
    </w:p>
    <w:p w14:paraId="5AE17023" w14:textId="77777777" w:rsidR="00DF5FE6" w:rsidRDefault="00DF5FE6">
      <w:pPr>
        <w:jc w:val="both"/>
        <w:rPr>
          <w:rFonts w:ascii="Arial" w:eastAsia="Arial" w:hAnsi="Arial" w:cs="Arial"/>
          <w:b/>
        </w:rPr>
      </w:pPr>
    </w:p>
    <w:p w14:paraId="1597E3D5" w14:textId="77777777" w:rsidR="00DF5FE6" w:rsidRDefault="00F15831">
      <w:pPr>
        <w:spacing w:line="259" w:lineRule="auto"/>
        <w:jc w:val="both"/>
        <w:rPr>
          <w:rFonts w:ascii="Arial" w:eastAsia="Arial" w:hAnsi="Arial" w:cs="Arial"/>
          <w:b/>
        </w:rPr>
      </w:pPr>
      <w:r>
        <w:rPr>
          <w:rFonts w:ascii="Arial" w:eastAsia="Arial" w:hAnsi="Arial" w:cs="Arial"/>
          <w:b/>
        </w:rPr>
        <w:t>3. Conservación y Gestión Sostenible</w:t>
      </w:r>
    </w:p>
    <w:p w14:paraId="7F0C122E" w14:textId="77777777" w:rsidR="00DF5FE6" w:rsidRDefault="00DF5FE6">
      <w:pPr>
        <w:jc w:val="both"/>
        <w:rPr>
          <w:rFonts w:ascii="Arial" w:eastAsia="Arial" w:hAnsi="Arial" w:cs="Arial"/>
          <w:b/>
        </w:rPr>
      </w:pPr>
    </w:p>
    <w:p w14:paraId="0D226A92" w14:textId="77777777" w:rsidR="00DF5FE6" w:rsidRDefault="00F15831">
      <w:pPr>
        <w:jc w:val="both"/>
        <w:rPr>
          <w:rFonts w:ascii="Arial" w:eastAsia="Arial" w:hAnsi="Arial" w:cs="Arial"/>
          <w:b/>
        </w:rPr>
      </w:pPr>
      <w:r>
        <w:rPr>
          <w:rFonts w:ascii="Arial" w:eastAsia="Arial" w:hAnsi="Arial" w:cs="Arial"/>
          <w:b/>
        </w:rPr>
        <w:t>3.1. Amenazas Actuales</w:t>
      </w:r>
    </w:p>
    <w:p w14:paraId="7C5F2041" w14:textId="77777777" w:rsidR="00DF5FE6" w:rsidRDefault="00DF5FE6">
      <w:pPr>
        <w:spacing w:line="259" w:lineRule="auto"/>
        <w:jc w:val="both"/>
        <w:rPr>
          <w:rFonts w:ascii="Arial" w:eastAsia="Arial" w:hAnsi="Arial" w:cs="Arial"/>
          <w:b/>
        </w:rPr>
      </w:pPr>
    </w:p>
    <w:p w14:paraId="686546CF" w14:textId="77777777" w:rsidR="00DF5FE6" w:rsidRDefault="00F15831">
      <w:pPr>
        <w:spacing w:line="360" w:lineRule="auto"/>
        <w:jc w:val="both"/>
        <w:rPr>
          <w:rFonts w:ascii="Arial" w:eastAsia="Arial" w:hAnsi="Arial" w:cs="Arial"/>
        </w:rPr>
      </w:pPr>
      <w:r>
        <w:rPr>
          <w:rFonts w:ascii="Arial" w:eastAsia="Arial" w:hAnsi="Arial" w:cs="Arial"/>
        </w:rPr>
        <w:t>El Cerro La Conejera enfrenta varias amenazas, incluyendo la urbanización, la contaminación y la deforestación. Estas actividades humanas ponen en riesgo tanto el valor cultural como ecológico del cerro.</w:t>
      </w:r>
    </w:p>
    <w:p w14:paraId="105A744E" w14:textId="77777777" w:rsidR="00DF5FE6" w:rsidRDefault="00DF5FE6">
      <w:pPr>
        <w:spacing w:line="259" w:lineRule="auto"/>
        <w:jc w:val="both"/>
        <w:rPr>
          <w:rFonts w:ascii="Arial" w:eastAsia="Arial" w:hAnsi="Arial" w:cs="Arial"/>
        </w:rPr>
      </w:pPr>
    </w:p>
    <w:p w14:paraId="792C8689" w14:textId="77777777" w:rsidR="00DF5FE6" w:rsidRDefault="00F15831">
      <w:pPr>
        <w:spacing w:line="259" w:lineRule="auto"/>
        <w:jc w:val="both"/>
        <w:rPr>
          <w:rFonts w:ascii="Arial" w:eastAsia="Arial" w:hAnsi="Arial" w:cs="Arial"/>
          <w:b/>
        </w:rPr>
      </w:pPr>
      <w:r>
        <w:rPr>
          <w:rFonts w:ascii="Arial" w:eastAsia="Arial" w:hAnsi="Arial" w:cs="Arial"/>
          <w:b/>
        </w:rPr>
        <w:t>3.2. Estrategias de Conservación</w:t>
      </w:r>
    </w:p>
    <w:p w14:paraId="3C322A6F" w14:textId="77777777" w:rsidR="00DF5FE6" w:rsidRDefault="00DF5FE6">
      <w:pPr>
        <w:spacing w:line="259" w:lineRule="auto"/>
        <w:jc w:val="both"/>
        <w:rPr>
          <w:rFonts w:ascii="Arial" w:eastAsia="Arial" w:hAnsi="Arial" w:cs="Arial"/>
          <w:b/>
        </w:rPr>
      </w:pPr>
    </w:p>
    <w:p w14:paraId="6B92B71E" w14:textId="77777777" w:rsidR="00DF5FE6" w:rsidRDefault="00F15831">
      <w:pPr>
        <w:spacing w:line="360" w:lineRule="auto"/>
        <w:jc w:val="both"/>
        <w:rPr>
          <w:rFonts w:ascii="Arial" w:eastAsia="Arial" w:hAnsi="Arial" w:cs="Arial"/>
        </w:rPr>
      </w:pPr>
      <w:r>
        <w:rPr>
          <w:rFonts w:ascii="Arial" w:eastAsia="Arial" w:hAnsi="Arial" w:cs="Arial"/>
        </w:rPr>
        <w:t xml:space="preserve">Para preservar este sitio sagrado y su entorno natural, es fundamental implementar estrategias de conservación basadas en el sistema de conocimiento tradicional </w:t>
      </w:r>
      <w:proofErr w:type="spellStart"/>
      <w:r>
        <w:rPr>
          <w:rFonts w:ascii="Arial" w:eastAsia="Arial" w:hAnsi="Arial" w:cs="Arial"/>
        </w:rPr>
        <w:t>Muysca</w:t>
      </w:r>
      <w:proofErr w:type="spellEnd"/>
      <w:r>
        <w:rPr>
          <w:rFonts w:ascii="Arial" w:eastAsia="Arial" w:hAnsi="Arial" w:cs="Arial"/>
        </w:rPr>
        <w:t xml:space="preserve"> y las prácticas científicas modernas. Algunas de las acciones propuestas incluyen:</w:t>
      </w:r>
    </w:p>
    <w:p w14:paraId="7687EF15" w14:textId="77777777" w:rsidR="00DF5FE6" w:rsidRDefault="00F15831">
      <w:pPr>
        <w:widowControl/>
        <w:numPr>
          <w:ilvl w:val="0"/>
          <w:numId w:val="3"/>
        </w:numPr>
        <w:spacing w:line="360" w:lineRule="auto"/>
        <w:jc w:val="both"/>
        <w:rPr>
          <w:rFonts w:ascii="Arial" w:eastAsia="Arial" w:hAnsi="Arial" w:cs="Arial"/>
        </w:rPr>
      </w:pPr>
      <w:r>
        <w:rPr>
          <w:rFonts w:ascii="Arial" w:eastAsia="Arial" w:hAnsi="Arial" w:cs="Arial"/>
          <w:b/>
        </w:rPr>
        <w:t>Protección Legal</w:t>
      </w:r>
      <w:r>
        <w:rPr>
          <w:rFonts w:ascii="Arial" w:eastAsia="Arial" w:hAnsi="Arial" w:cs="Arial"/>
        </w:rPr>
        <w:t>: Establecer y hacer cumplir medidas de protección legal para evitar la explotación y el desarrollo urbano no planificado.</w:t>
      </w:r>
    </w:p>
    <w:p w14:paraId="57EBFC20" w14:textId="77777777" w:rsidR="00DF5FE6" w:rsidRDefault="00F15831">
      <w:pPr>
        <w:widowControl/>
        <w:numPr>
          <w:ilvl w:val="0"/>
          <w:numId w:val="3"/>
        </w:numPr>
        <w:spacing w:line="360" w:lineRule="auto"/>
        <w:jc w:val="both"/>
        <w:rPr>
          <w:rFonts w:ascii="Arial" w:eastAsia="Arial" w:hAnsi="Arial" w:cs="Arial"/>
        </w:rPr>
      </w:pPr>
      <w:r>
        <w:rPr>
          <w:rFonts w:ascii="Arial" w:eastAsia="Arial" w:hAnsi="Arial" w:cs="Arial"/>
          <w:b/>
        </w:rPr>
        <w:t>Educación Ambiental</w:t>
      </w:r>
      <w:r>
        <w:rPr>
          <w:rFonts w:ascii="Arial" w:eastAsia="Arial" w:hAnsi="Arial" w:cs="Arial"/>
        </w:rPr>
        <w:t>: Promover programas educativos que sensibilicen a la comunidad sobre la importancia de conservar el Cerro La Conejera.</w:t>
      </w:r>
    </w:p>
    <w:p w14:paraId="13344F70" w14:textId="77777777" w:rsidR="00DF5FE6" w:rsidRDefault="00F15831">
      <w:pPr>
        <w:widowControl/>
        <w:numPr>
          <w:ilvl w:val="0"/>
          <w:numId w:val="3"/>
        </w:numPr>
        <w:spacing w:line="360" w:lineRule="auto"/>
        <w:jc w:val="both"/>
        <w:rPr>
          <w:rFonts w:ascii="Arial" w:eastAsia="Arial" w:hAnsi="Arial" w:cs="Arial"/>
        </w:rPr>
      </w:pPr>
      <w:r>
        <w:rPr>
          <w:rFonts w:ascii="Arial" w:eastAsia="Arial" w:hAnsi="Arial" w:cs="Arial"/>
          <w:b/>
        </w:rPr>
        <w:t>Restauración Ecológica</w:t>
      </w:r>
      <w:r>
        <w:rPr>
          <w:rFonts w:ascii="Arial" w:eastAsia="Arial" w:hAnsi="Arial" w:cs="Arial"/>
        </w:rPr>
        <w:t>: Iniciar proyectos de restauración para recuperar áreas degradadas, reintroduciendo especies nativas y controlando especies invasoras.</w:t>
      </w:r>
    </w:p>
    <w:p w14:paraId="58D8402C" w14:textId="77777777" w:rsidR="00DF5FE6" w:rsidRDefault="00DF5FE6">
      <w:pPr>
        <w:jc w:val="both"/>
        <w:rPr>
          <w:rFonts w:ascii="Arial" w:eastAsia="Arial" w:hAnsi="Arial" w:cs="Arial"/>
          <w:b/>
        </w:rPr>
      </w:pPr>
    </w:p>
    <w:p w14:paraId="7B22B292" w14:textId="77777777" w:rsidR="00DF5FE6" w:rsidRDefault="00F15831">
      <w:pPr>
        <w:spacing w:line="259" w:lineRule="auto"/>
        <w:jc w:val="both"/>
        <w:rPr>
          <w:rFonts w:ascii="Arial" w:eastAsia="Arial" w:hAnsi="Arial" w:cs="Arial"/>
          <w:b/>
        </w:rPr>
      </w:pPr>
      <w:r>
        <w:rPr>
          <w:rFonts w:ascii="Arial" w:eastAsia="Arial" w:hAnsi="Arial" w:cs="Arial"/>
          <w:b/>
        </w:rPr>
        <w:t>3.3. Participación Comunitaria</w:t>
      </w:r>
    </w:p>
    <w:p w14:paraId="7D297C07" w14:textId="77777777" w:rsidR="00DF5FE6" w:rsidRDefault="00DF5FE6">
      <w:pPr>
        <w:jc w:val="both"/>
        <w:rPr>
          <w:rFonts w:ascii="Arial" w:eastAsia="Arial" w:hAnsi="Arial" w:cs="Arial"/>
        </w:rPr>
      </w:pPr>
    </w:p>
    <w:p w14:paraId="3B881573" w14:textId="77777777" w:rsidR="00DF5FE6" w:rsidRDefault="00F15831">
      <w:pPr>
        <w:spacing w:line="360" w:lineRule="auto"/>
        <w:jc w:val="both"/>
        <w:rPr>
          <w:rFonts w:ascii="Arial" w:eastAsia="Arial" w:hAnsi="Arial" w:cs="Arial"/>
        </w:rPr>
      </w:pPr>
      <w:r>
        <w:rPr>
          <w:rFonts w:ascii="Arial" w:eastAsia="Arial" w:hAnsi="Arial" w:cs="Arial"/>
        </w:rPr>
        <w:t xml:space="preserve">La participación activa de la comunidad </w:t>
      </w:r>
      <w:proofErr w:type="spellStart"/>
      <w:r>
        <w:rPr>
          <w:rFonts w:ascii="Arial" w:eastAsia="Arial" w:hAnsi="Arial" w:cs="Arial"/>
        </w:rPr>
        <w:t>Muysca</w:t>
      </w:r>
      <w:proofErr w:type="spellEnd"/>
      <w:r>
        <w:rPr>
          <w:rFonts w:ascii="Arial" w:eastAsia="Arial" w:hAnsi="Arial" w:cs="Arial"/>
        </w:rPr>
        <w:t xml:space="preserve"> y los residentes locales es crucial para el </w:t>
      </w:r>
      <w:r>
        <w:rPr>
          <w:rFonts w:ascii="Arial" w:eastAsia="Arial" w:hAnsi="Arial" w:cs="Arial"/>
        </w:rPr>
        <w:lastRenderedPageBreak/>
        <w:t>éxito de las iniciativas de conservación. Fomentar el diálogo y la cooperación entre las autoridades locales, las organizaciones ambientales y la comunidad es esencial para garantizar la protección a largo plazo del cerro.</w:t>
      </w:r>
    </w:p>
    <w:p w14:paraId="6EABAED2" w14:textId="77777777" w:rsidR="00DF5FE6" w:rsidRDefault="00DF5FE6">
      <w:pPr>
        <w:jc w:val="both"/>
        <w:rPr>
          <w:rFonts w:ascii="Arial" w:eastAsia="Arial" w:hAnsi="Arial" w:cs="Arial"/>
        </w:rPr>
      </w:pPr>
    </w:p>
    <w:p w14:paraId="4B5EAA85" w14:textId="77777777" w:rsidR="00DF5FE6" w:rsidRDefault="00F15831">
      <w:pPr>
        <w:jc w:val="both"/>
        <w:rPr>
          <w:rFonts w:ascii="Arial" w:eastAsia="Arial" w:hAnsi="Arial" w:cs="Arial"/>
          <w:b/>
        </w:rPr>
      </w:pPr>
      <w:r>
        <w:rPr>
          <w:rFonts w:ascii="Arial" w:eastAsia="Arial" w:hAnsi="Arial" w:cs="Arial"/>
          <w:b/>
        </w:rPr>
        <w:t>3.4 Conclusión</w:t>
      </w:r>
    </w:p>
    <w:p w14:paraId="09C09074" w14:textId="77777777" w:rsidR="00DF5FE6" w:rsidRDefault="00DF5FE6">
      <w:pPr>
        <w:spacing w:line="259" w:lineRule="auto"/>
        <w:jc w:val="both"/>
        <w:rPr>
          <w:rFonts w:ascii="Arial" w:eastAsia="Arial" w:hAnsi="Arial" w:cs="Arial"/>
          <w:b/>
        </w:rPr>
      </w:pPr>
    </w:p>
    <w:p w14:paraId="3B726757" w14:textId="77777777" w:rsidR="00DF5FE6" w:rsidRDefault="00F15831">
      <w:pPr>
        <w:spacing w:line="360" w:lineRule="auto"/>
        <w:jc w:val="both"/>
        <w:rPr>
          <w:rFonts w:ascii="Arial" w:eastAsia="Arial" w:hAnsi="Arial" w:cs="Arial"/>
        </w:rPr>
      </w:pPr>
      <w:r>
        <w:rPr>
          <w:rFonts w:ascii="Arial" w:eastAsia="Arial" w:hAnsi="Arial" w:cs="Arial"/>
        </w:rPr>
        <w:t xml:space="preserve">El Cerro La Conejera es un tesoro cultural y natural para el pueblo </w:t>
      </w:r>
      <w:proofErr w:type="spellStart"/>
      <w:r>
        <w:rPr>
          <w:rFonts w:ascii="Arial" w:eastAsia="Arial" w:hAnsi="Arial" w:cs="Arial"/>
        </w:rPr>
        <w:t>Muysca</w:t>
      </w:r>
      <w:proofErr w:type="spellEnd"/>
      <w:r>
        <w:rPr>
          <w:rFonts w:ascii="Arial" w:eastAsia="Arial" w:hAnsi="Arial" w:cs="Arial"/>
        </w:rPr>
        <w:t xml:space="preserve"> y la ciudad de Bogotá. Su importancia ancestral, ecosistémica y ambiental demanda un compromiso conjunto para su conservación y protección. Reconociendo y valorando su significado, podemos asegurar que este sitio sagrado continúe siendo una fuente de identidad y vida para las futuras generaciones.</w:t>
      </w:r>
    </w:p>
    <w:p w14:paraId="2EF34D19" w14:textId="77777777" w:rsidR="00DF5FE6" w:rsidRDefault="00DF5FE6">
      <w:pPr>
        <w:jc w:val="both"/>
        <w:rPr>
          <w:rFonts w:ascii="Arial" w:eastAsia="Arial" w:hAnsi="Arial" w:cs="Arial"/>
        </w:rPr>
      </w:pPr>
    </w:p>
    <w:p w14:paraId="46E17F6A" w14:textId="77777777" w:rsidR="00DF5FE6" w:rsidRDefault="00DF5FE6">
      <w:pPr>
        <w:jc w:val="both"/>
        <w:rPr>
          <w:rFonts w:ascii="Arial" w:eastAsia="Arial" w:hAnsi="Arial" w:cs="Arial"/>
        </w:rPr>
      </w:pPr>
    </w:p>
    <w:p w14:paraId="53E1DC59" w14:textId="77777777" w:rsidR="00DF5FE6" w:rsidRDefault="00DF5FE6">
      <w:pPr>
        <w:jc w:val="both"/>
        <w:rPr>
          <w:rFonts w:ascii="Arial" w:eastAsia="Arial" w:hAnsi="Arial" w:cs="Arial"/>
          <w:sz w:val="22"/>
          <w:szCs w:val="22"/>
        </w:rPr>
      </w:pPr>
    </w:p>
    <w:p w14:paraId="1ACF302E" w14:textId="77777777" w:rsidR="00DF5FE6" w:rsidRDefault="00DF5FE6">
      <w:pPr>
        <w:jc w:val="both"/>
        <w:rPr>
          <w:rFonts w:ascii="Arial" w:eastAsia="Arial" w:hAnsi="Arial" w:cs="Arial"/>
          <w:sz w:val="22"/>
          <w:szCs w:val="22"/>
        </w:rPr>
      </w:pPr>
    </w:p>
    <w:p w14:paraId="19781321" w14:textId="77777777" w:rsidR="00DF5FE6" w:rsidRDefault="00DF5FE6">
      <w:pPr>
        <w:jc w:val="center"/>
        <w:rPr>
          <w:rFonts w:ascii="Arial" w:eastAsia="Arial" w:hAnsi="Arial" w:cs="Arial"/>
          <w:sz w:val="22"/>
          <w:szCs w:val="22"/>
        </w:rPr>
      </w:pPr>
    </w:p>
    <w:p w14:paraId="2E82983B" w14:textId="77777777" w:rsidR="00DF5FE6" w:rsidRDefault="00F15831">
      <w:pPr>
        <w:widowControl/>
        <w:spacing w:line="360" w:lineRule="auto"/>
        <w:jc w:val="center"/>
        <w:rPr>
          <w:rFonts w:ascii="Arial-BoldMT" w:eastAsia="Arial-BoldMT" w:hAnsi="Arial-BoldMT" w:cs="Arial-BoldMT"/>
          <w:b/>
        </w:rPr>
      </w:pPr>
      <w:r>
        <w:rPr>
          <w:rFonts w:ascii="Arial-BoldMT" w:eastAsia="Arial-BoldMT" w:hAnsi="Arial-BoldMT" w:cs="Arial-BoldMT"/>
          <w:b/>
        </w:rPr>
        <w:t>JEISON FABIAN TRIVIÑO CABIATIVA</w:t>
      </w:r>
    </w:p>
    <w:p w14:paraId="6316CE99" w14:textId="77777777" w:rsidR="00DF5FE6" w:rsidRDefault="00F15831">
      <w:pPr>
        <w:widowControl/>
        <w:spacing w:line="360" w:lineRule="auto"/>
        <w:jc w:val="center"/>
        <w:rPr>
          <w:rFonts w:ascii="Arial-BoldMT" w:eastAsia="Arial-BoldMT" w:hAnsi="Arial-BoldMT" w:cs="Arial-BoldMT"/>
          <w:b/>
        </w:rPr>
      </w:pPr>
      <w:r>
        <w:rPr>
          <w:rFonts w:ascii="Arial-BoldMT" w:eastAsia="Arial-BoldMT" w:hAnsi="Arial-BoldMT" w:cs="Arial-BoldMT"/>
          <w:b/>
        </w:rPr>
        <w:t>REPRESENTANTE LEGAL- GOBERNADOR</w:t>
      </w:r>
    </w:p>
    <w:p w14:paraId="7D00A223" w14:textId="77777777" w:rsidR="00DF5FE6" w:rsidRDefault="00F15831">
      <w:pPr>
        <w:spacing w:line="360" w:lineRule="auto"/>
        <w:jc w:val="center"/>
        <w:rPr>
          <w:rFonts w:ascii="Arial" w:eastAsia="Arial" w:hAnsi="Arial" w:cs="Arial"/>
          <w:sz w:val="22"/>
          <w:szCs w:val="22"/>
        </w:rPr>
      </w:pPr>
      <w:r>
        <w:rPr>
          <w:rFonts w:ascii="Arial-BoldMT" w:eastAsia="Arial-BoldMT" w:hAnsi="Arial-BoldMT" w:cs="Arial-BoldMT"/>
          <w:b/>
        </w:rPr>
        <w:t>CABILDO INDIGENA MUISCA DE SUBA</w:t>
      </w:r>
    </w:p>
    <w:sectPr w:rsidR="00DF5FE6">
      <w:headerReference w:type="default" r:id="rId14"/>
      <w:footerReference w:type="default" r:id="rId15"/>
      <w:pgSz w:w="12240" w:h="15840"/>
      <w:pgMar w:top="1417" w:right="1325" w:bottom="1417"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6281A2" w14:textId="77777777" w:rsidR="00EE0ECE" w:rsidRDefault="00EE0ECE">
      <w:r>
        <w:separator/>
      </w:r>
    </w:p>
  </w:endnote>
  <w:endnote w:type="continuationSeparator" w:id="0">
    <w:p w14:paraId="7C4E5194" w14:textId="77777777" w:rsidR="00EE0ECE" w:rsidRDefault="00EE0E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Georgia">
    <w:panose1 w:val="02040502050405020303"/>
    <w:charset w:val="00"/>
    <w:family w:val="roman"/>
    <w:pitch w:val="variable"/>
    <w:sig w:usb0="00000287" w:usb1="00000000" w:usb2="00000000" w:usb3="00000000" w:csb0="0000009F" w:csb1="00000000"/>
  </w:font>
  <w:font w:name="Arial-BoldMT">
    <w:altName w:val="Arial"/>
    <w:charset w:val="00"/>
    <w:family w:val="auto"/>
    <w:pitch w:val="default"/>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1123D8" w14:textId="77777777" w:rsidR="00DF5FE6" w:rsidRDefault="00F15831">
    <w:pPr>
      <w:widowControl/>
      <w:pBdr>
        <w:top w:val="nil"/>
        <w:left w:val="nil"/>
        <w:bottom w:val="nil"/>
        <w:right w:val="nil"/>
        <w:between w:val="nil"/>
      </w:pBdr>
      <w:jc w:val="center"/>
      <w:rPr>
        <w:rFonts w:ascii="Candara" w:eastAsia="Candara" w:hAnsi="Candara" w:cs="Candara"/>
        <w:color w:val="000000"/>
        <w:sz w:val="22"/>
        <w:szCs w:val="22"/>
      </w:rPr>
    </w:pPr>
    <w:r>
      <w:rPr>
        <w:rFonts w:ascii="Candara" w:eastAsia="Candara" w:hAnsi="Candara" w:cs="Candara"/>
        <w:color w:val="000000"/>
        <w:sz w:val="22"/>
        <w:szCs w:val="22"/>
      </w:rPr>
      <w:t>Cabildo Indígena Muisca de Suba</w:t>
    </w:r>
  </w:p>
  <w:p w14:paraId="2C98C8DF" w14:textId="77777777" w:rsidR="00DF5FE6" w:rsidRDefault="00F15831">
    <w:pPr>
      <w:widowControl/>
      <w:pBdr>
        <w:top w:val="nil"/>
        <w:left w:val="nil"/>
        <w:bottom w:val="nil"/>
        <w:right w:val="nil"/>
        <w:between w:val="nil"/>
      </w:pBdr>
      <w:jc w:val="center"/>
      <w:rPr>
        <w:rFonts w:ascii="Candara" w:eastAsia="Candara" w:hAnsi="Candara" w:cs="Candara"/>
        <w:color w:val="000000"/>
        <w:sz w:val="22"/>
        <w:szCs w:val="22"/>
      </w:rPr>
    </w:pPr>
    <w:r>
      <w:rPr>
        <w:rFonts w:ascii="Candara" w:eastAsia="Candara" w:hAnsi="Candara" w:cs="Candara"/>
        <w:color w:val="000000"/>
        <w:sz w:val="22"/>
        <w:szCs w:val="22"/>
      </w:rPr>
      <w:t>UAQUE ATA CHIGUENE</w:t>
    </w:r>
  </w:p>
  <w:p w14:paraId="7C5EDDB7" w14:textId="77777777" w:rsidR="00DF5FE6" w:rsidRDefault="00F15831">
    <w:pPr>
      <w:widowControl/>
      <w:pBdr>
        <w:top w:val="nil"/>
        <w:left w:val="nil"/>
        <w:bottom w:val="nil"/>
        <w:right w:val="nil"/>
        <w:between w:val="nil"/>
      </w:pBdr>
      <w:jc w:val="center"/>
      <w:rPr>
        <w:rFonts w:ascii="Candara" w:eastAsia="Candara" w:hAnsi="Candara" w:cs="Candara"/>
        <w:b/>
        <w:color w:val="000000"/>
        <w:sz w:val="20"/>
        <w:szCs w:val="20"/>
      </w:rPr>
    </w:pPr>
    <w:proofErr w:type="spellStart"/>
    <w:r>
      <w:rPr>
        <w:rFonts w:ascii="Candara" w:eastAsia="Candara" w:hAnsi="Candara" w:cs="Candara"/>
        <w:b/>
        <w:color w:val="000000"/>
        <w:sz w:val="20"/>
        <w:szCs w:val="20"/>
      </w:rPr>
      <w:t>Cra</w:t>
    </w:r>
    <w:proofErr w:type="spellEnd"/>
    <w:r>
      <w:rPr>
        <w:rFonts w:ascii="Candara" w:eastAsia="Candara" w:hAnsi="Candara" w:cs="Candara"/>
        <w:b/>
        <w:color w:val="000000"/>
        <w:sz w:val="20"/>
        <w:szCs w:val="20"/>
      </w:rPr>
      <w:t xml:space="preserve"> 86 # 147-23 Tel: 6810025 -  </w:t>
    </w:r>
    <w:hyperlink r:id="rId1">
      <w:r>
        <w:rPr>
          <w:rFonts w:ascii="Candara" w:eastAsia="Candara" w:hAnsi="Candara" w:cs="Candara"/>
          <w:color w:val="0563C1"/>
          <w:sz w:val="20"/>
          <w:szCs w:val="20"/>
          <w:u w:val="single"/>
        </w:rPr>
        <w:t>www.subamuisca.com</w:t>
      </w:r>
    </w:hyperlink>
    <w:r>
      <w:rPr>
        <w:rFonts w:ascii="Candara" w:eastAsia="Candara" w:hAnsi="Candara" w:cs="Candara"/>
        <w:color w:val="0563C1"/>
        <w:sz w:val="20"/>
        <w:szCs w:val="20"/>
        <w:u w:val="single"/>
      </w:rPr>
      <w:t>.co</w:t>
    </w:r>
  </w:p>
  <w:p w14:paraId="5E6CA0A0" w14:textId="77777777" w:rsidR="00DF5FE6" w:rsidRDefault="00DF5FE6">
    <w:pPr>
      <w:widowControl/>
      <w:pBdr>
        <w:top w:val="nil"/>
        <w:left w:val="nil"/>
        <w:bottom w:val="nil"/>
        <w:right w:val="nil"/>
        <w:between w:val="nil"/>
      </w:pBdr>
      <w:jc w:val="center"/>
      <w:rPr>
        <w:rFonts w:ascii="Candara" w:eastAsia="Candara" w:hAnsi="Candara" w:cs="Candara"/>
        <w:b/>
        <w:color w:val="0563C1"/>
        <w:sz w:val="20"/>
        <w:szCs w:val="20"/>
        <w:u w:val="single"/>
      </w:rPr>
    </w:pPr>
  </w:p>
  <w:p w14:paraId="085B10BD" w14:textId="77777777" w:rsidR="00DF5FE6" w:rsidRDefault="00DF5FE6">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3C56F4" w14:textId="77777777" w:rsidR="00EE0ECE" w:rsidRDefault="00EE0ECE">
      <w:r>
        <w:separator/>
      </w:r>
    </w:p>
  </w:footnote>
  <w:footnote w:type="continuationSeparator" w:id="0">
    <w:p w14:paraId="09FCF03F" w14:textId="77777777" w:rsidR="00EE0ECE" w:rsidRDefault="00EE0E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C827DF" w14:textId="77777777" w:rsidR="00DF5FE6" w:rsidRDefault="00DF5FE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E65C6"/>
    <w:multiLevelType w:val="multilevel"/>
    <w:tmpl w:val="4A2837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87E0553"/>
    <w:multiLevelType w:val="multilevel"/>
    <w:tmpl w:val="C13228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F61457"/>
    <w:multiLevelType w:val="multilevel"/>
    <w:tmpl w:val="0CA2000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5C1608B"/>
    <w:multiLevelType w:val="multilevel"/>
    <w:tmpl w:val="FC02754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4FDE3799"/>
    <w:multiLevelType w:val="multilevel"/>
    <w:tmpl w:val="38C09160"/>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CCA6D94"/>
    <w:multiLevelType w:val="multilevel"/>
    <w:tmpl w:val="05A6F566"/>
    <w:lvl w:ilvl="0">
      <w:start w:val="1"/>
      <w:numFmt w:val="decimal"/>
      <w:lvlText w:val="%1."/>
      <w:lvlJc w:val="left"/>
      <w:pPr>
        <w:ind w:left="610" w:hanging="61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6" w15:restartNumberingAfterBreak="0">
    <w:nsid w:val="6A313932"/>
    <w:multiLevelType w:val="multilevel"/>
    <w:tmpl w:val="C5560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0"/>
  </w:num>
  <w:num w:numId="2">
    <w:abstractNumId w:val="3"/>
  </w:num>
  <w:num w:numId="3">
    <w:abstractNumId w:val="6"/>
  </w:num>
  <w:num w:numId="4">
    <w:abstractNumId w:val="5"/>
  </w:num>
  <w:num w:numId="5">
    <w:abstractNumId w:val="1"/>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FE6"/>
    <w:rsid w:val="0018374F"/>
    <w:rsid w:val="00877BA3"/>
    <w:rsid w:val="00BD3A77"/>
    <w:rsid w:val="00DF5FE6"/>
    <w:rsid w:val="00EE0ECE"/>
    <w:rsid w:val="00F1583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0EA0C"/>
  <w15:docId w15:val="{560A2580-CA2E-4D8A-BE03-1F82155F31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s-CO" w:eastAsia="es-CO"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572D4"/>
    <w:pPr>
      <w:suppressAutoHyphens/>
    </w:pPr>
    <w:rPr>
      <w:rFonts w:eastAsia="Lucida Sans Unicode"/>
      <w:kern w:val="1"/>
    </w:r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rrafodelista">
    <w:name w:val="List Paragraph"/>
    <w:basedOn w:val="Normal"/>
    <w:uiPriority w:val="34"/>
    <w:qFormat/>
    <w:rsid w:val="000572D4"/>
    <w:pPr>
      <w:ind w:left="720"/>
      <w:contextualSpacing/>
    </w:pPr>
  </w:style>
  <w:style w:type="paragraph" w:styleId="NormalWeb">
    <w:name w:val="Normal (Web)"/>
    <w:basedOn w:val="Normal"/>
    <w:uiPriority w:val="99"/>
    <w:semiHidden/>
    <w:unhideWhenUsed/>
    <w:rsid w:val="000572D4"/>
    <w:pPr>
      <w:widowControl/>
      <w:suppressAutoHyphens w:val="0"/>
      <w:spacing w:before="100" w:beforeAutospacing="1" w:after="100" w:afterAutospacing="1"/>
    </w:pPr>
    <w:rPr>
      <w:rFonts w:eastAsia="Times New Roman"/>
      <w:kern w:val="0"/>
    </w:rPr>
  </w:style>
  <w:style w:type="paragraph" w:styleId="Encabezado">
    <w:name w:val="header"/>
    <w:basedOn w:val="Normal"/>
    <w:link w:val="EncabezadoCar"/>
    <w:uiPriority w:val="99"/>
    <w:unhideWhenUsed/>
    <w:rsid w:val="002251AE"/>
    <w:pPr>
      <w:tabs>
        <w:tab w:val="center" w:pos="4419"/>
        <w:tab w:val="right" w:pos="8838"/>
      </w:tabs>
    </w:pPr>
  </w:style>
  <w:style w:type="character" w:customStyle="1" w:styleId="EncabezadoCar">
    <w:name w:val="Encabezado Car"/>
    <w:basedOn w:val="Fuentedeprrafopredeter"/>
    <w:link w:val="Encabezado"/>
    <w:uiPriority w:val="99"/>
    <w:rsid w:val="002251AE"/>
    <w:rPr>
      <w:rFonts w:ascii="Times New Roman" w:eastAsia="Lucida Sans Unicode" w:hAnsi="Times New Roman" w:cs="Times New Roman"/>
      <w:kern w:val="1"/>
      <w:sz w:val="24"/>
      <w:szCs w:val="24"/>
      <w:lang w:eastAsia="es-CO"/>
    </w:rPr>
  </w:style>
  <w:style w:type="paragraph" w:styleId="Piedepgina">
    <w:name w:val="footer"/>
    <w:basedOn w:val="Normal"/>
    <w:link w:val="PiedepginaCar"/>
    <w:uiPriority w:val="99"/>
    <w:unhideWhenUsed/>
    <w:rsid w:val="002251AE"/>
    <w:pPr>
      <w:tabs>
        <w:tab w:val="center" w:pos="4419"/>
        <w:tab w:val="right" w:pos="8838"/>
      </w:tabs>
    </w:pPr>
  </w:style>
  <w:style w:type="character" w:customStyle="1" w:styleId="PiedepginaCar">
    <w:name w:val="Pie de página Car"/>
    <w:basedOn w:val="Fuentedeprrafopredeter"/>
    <w:link w:val="Piedepgina"/>
    <w:uiPriority w:val="99"/>
    <w:rsid w:val="002251AE"/>
    <w:rPr>
      <w:rFonts w:ascii="Times New Roman" w:eastAsia="Lucida Sans Unicode" w:hAnsi="Times New Roman" w:cs="Times New Roman"/>
      <w:kern w:val="1"/>
      <w:sz w:val="24"/>
      <w:szCs w:val="24"/>
      <w:lang w:eastAsia="es-CO"/>
    </w:rPr>
  </w:style>
  <w:style w:type="character" w:styleId="Hipervnculo">
    <w:name w:val="Hyperlink"/>
    <w:basedOn w:val="Fuentedeprrafopredeter"/>
    <w:uiPriority w:val="99"/>
    <w:unhideWhenUsed/>
    <w:rsid w:val="002251AE"/>
    <w:rPr>
      <w:color w:val="0563C1" w:themeColor="hyperlink"/>
      <w:u w:val="single"/>
    </w:rPr>
  </w:style>
  <w:style w:type="character" w:styleId="Refdecomentario">
    <w:name w:val="annotation reference"/>
    <w:basedOn w:val="Fuentedeprrafopredeter"/>
    <w:uiPriority w:val="99"/>
    <w:semiHidden/>
    <w:unhideWhenUsed/>
    <w:rsid w:val="005B2835"/>
    <w:rPr>
      <w:sz w:val="16"/>
      <w:szCs w:val="16"/>
    </w:rPr>
  </w:style>
  <w:style w:type="paragraph" w:styleId="Textocomentario">
    <w:name w:val="annotation text"/>
    <w:basedOn w:val="Normal"/>
    <w:link w:val="TextocomentarioCar"/>
    <w:uiPriority w:val="99"/>
    <w:unhideWhenUsed/>
    <w:rsid w:val="005B2835"/>
    <w:rPr>
      <w:sz w:val="20"/>
      <w:szCs w:val="20"/>
    </w:rPr>
  </w:style>
  <w:style w:type="character" w:customStyle="1" w:styleId="TextocomentarioCar">
    <w:name w:val="Texto comentario Car"/>
    <w:basedOn w:val="Fuentedeprrafopredeter"/>
    <w:link w:val="Textocomentario"/>
    <w:uiPriority w:val="99"/>
    <w:rsid w:val="005B2835"/>
    <w:rPr>
      <w:rFonts w:ascii="Times New Roman" w:eastAsia="Lucida Sans Unicode" w:hAnsi="Times New Roman" w:cs="Times New Roman"/>
      <w:kern w:val="1"/>
      <w:sz w:val="20"/>
      <w:szCs w:val="20"/>
      <w:lang w:eastAsia="es-CO"/>
    </w:rPr>
  </w:style>
  <w:style w:type="paragraph" w:styleId="Asuntodelcomentario">
    <w:name w:val="annotation subject"/>
    <w:basedOn w:val="Textocomentario"/>
    <w:next w:val="Textocomentario"/>
    <w:link w:val="AsuntodelcomentarioCar"/>
    <w:uiPriority w:val="99"/>
    <w:semiHidden/>
    <w:unhideWhenUsed/>
    <w:rsid w:val="005B2835"/>
    <w:rPr>
      <w:b/>
      <w:bCs/>
    </w:rPr>
  </w:style>
  <w:style w:type="character" w:customStyle="1" w:styleId="AsuntodelcomentarioCar">
    <w:name w:val="Asunto del comentario Car"/>
    <w:basedOn w:val="TextocomentarioCar"/>
    <w:link w:val="Asuntodelcomentario"/>
    <w:uiPriority w:val="99"/>
    <w:semiHidden/>
    <w:rsid w:val="005B2835"/>
    <w:rPr>
      <w:rFonts w:ascii="Times New Roman" w:eastAsia="Lucida Sans Unicode" w:hAnsi="Times New Roman" w:cs="Times New Roman"/>
      <w:b/>
      <w:bCs/>
      <w:kern w:val="1"/>
      <w:sz w:val="20"/>
      <w:szCs w:val="20"/>
      <w:lang w:eastAsia="es-CO"/>
    </w:rPr>
  </w:style>
  <w:style w:type="character" w:styleId="Mencinsinresolver">
    <w:name w:val="Unresolved Mention"/>
    <w:basedOn w:val="Fuentedeprrafopredeter"/>
    <w:uiPriority w:val="99"/>
    <w:semiHidden/>
    <w:unhideWhenUsed/>
    <w:rsid w:val="0036797A"/>
    <w:rPr>
      <w:color w:val="605E5C"/>
      <w:shd w:val="clear" w:color="auto" w:fill="E1DFDD"/>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paragraph" w:customStyle="1" w:styleId="msonormal0">
    <w:name w:val="msonormal"/>
    <w:basedOn w:val="Normal"/>
    <w:rsid w:val="00C34301"/>
    <w:pPr>
      <w:widowControl/>
      <w:suppressAutoHyphens w:val="0"/>
      <w:spacing w:before="100" w:beforeAutospacing="1" w:after="100" w:afterAutospacing="1"/>
    </w:pPr>
    <w:rPr>
      <w:rFonts w:eastAsia="Times New Roman"/>
      <w:kern w:val="0"/>
    </w:rPr>
  </w:style>
  <w:style w:type="character" w:styleId="Hipervnculovisitado">
    <w:name w:val="FollowedHyperlink"/>
    <w:basedOn w:val="Fuentedeprrafopredeter"/>
    <w:uiPriority w:val="99"/>
    <w:semiHidden/>
    <w:unhideWhenUsed/>
    <w:rsid w:val="00C34301"/>
    <w:rPr>
      <w:color w:val="800080"/>
      <w:u w:val="single"/>
    </w:rPr>
  </w:style>
  <w:style w:type="character" w:styleId="Refdenotaalpie">
    <w:name w:val="footnote reference"/>
    <w:basedOn w:val="Fuentedeprrafopredeter"/>
    <w:uiPriority w:val="99"/>
    <w:semiHidden/>
    <w:unhideWhenUsed/>
    <w:rsid w:val="00C34301"/>
  </w:style>
  <w:style w:type="character" w:customStyle="1" w:styleId="ancla">
    <w:name w:val="ancla"/>
    <w:basedOn w:val="Fuentedeprrafopredeter"/>
    <w:rsid w:val="00C34301"/>
  </w:style>
  <w:style w:type="character" w:styleId="Textoennegrita">
    <w:name w:val="Strong"/>
    <w:basedOn w:val="Fuentedeprrafopredeter"/>
    <w:uiPriority w:val="22"/>
    <w:qFormat/>
    <w:rsid w:val="00AD456D"/>
    <w:rPr>
      <w:b/>
      <w:bCs/>
    </w:rPr>
  </w:style>
  <w:style w:type="table" w:customStyle="1" w:styleId="a2">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subamuisca.co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ZbmeA23fy84pe08SXIA5o/Ll4Q==">CgMxLjAyCGguZ2pkZ3hzMgloLjMwajB6bGwyCWguMWZvYjl0ZTIJaC4zem55c2g3MgloLjJldDkycDA4AHIhMTR2VlhUSTk3Y0o0dlBIRXF3dzY0UDRxSkFHYV92V2JF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10</Pages>
  <Words>1897</Words>
  <Characters>10435</Characters>
  <Application>Microsoft Office Word</Application>
  <DocSecurity>0</DocSecurity>
  <Lines>86</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2024-05-31T02:03:00Z</dcterms:created>
  <dcterms:modified xsi:type="dcterms:W3CDTF">2024-12-18T16:42:00Z</dcterms:modified>
</cp:coreProperties>
</file>